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F4771" w14:textId="77777777" w:rsidR="00440D67" w:rsidRPr="00190800" w:rsidRDefault="00440D67" w:rsidP="00440D67">
      <w:pPr>
        <w:autoSpaceDE w:val="0"/>
        <w:autoSpaceDN w:val="0"/>
        <w:adjustRightInd w:val="0"/>
        <w:spacing w:after="0" w:line="312" w:lineRule="auto"/>
        <w:rPr>
          <w:rFonts w:ascii="Arial" w:hAnsi="Arial" w:cs="Arial"/>
          <w:b/>
          <w:bCs/>
          <w:color w:val="2EA1BE"/>
          <w:kern w:val="0"/>
          <w:sz w:val="19"/>
          <w:szCs w:val="19"/>
        </w:rPr>
      </w:pPr>
    </w:p>
    <w:p w14:paraId="4762F8B6" w14:textId="77777777" w:rsidR="00440D67" w:rsidRPr="00190800" w:rsidRDefault="00440D67" w:rsidP="00440D67">
      <w:pPr>
        <w:autoSpaceDE w:val="0"/>
        <w:autoSpaceDN w:val="0"/>
        <w:adjustRightInd w:val="0"/>
        <w:spacing w:after="0" w:line="312" w:lineRule="auto"/>
        <w:rPr>
          <w:rFonts w:ascii="Arial" w:hAnsi="Arial" w:cs="Arial"/>
          <w:b/>
          <w:bCs/>
          <w:color w:val="2EA1BE"/>
          <w:kern w:val="0"/>
          <w:sz w:val="19"/>
          <w:szCs w:val="19"/>
        </w:rPr>
      </w:pPr>
    </w:p>
    <w:p w14:paraId="10EC9D8B" w14:textId="6A65B993" w:rsidR="00440D67" w:rsidRPr="000C2CB8" w:rsidRDefault="000C2CB8" w:rsidP="00440D67">
      <w:pPr>
        <w:autoSpaceDE w:val="0"/>
        <w:autoSpaceDN w:val="0"/>
        <w:adjustRightInd w:val="0"/>
        <w:spacing w:after="0" w:line="312" w:lineRule="auto"/>
        <w:rPr>
          <w:rFonts w:ascii="Arial" w:hAnsi="Arial" w:cs="Arial"/>
          <w:b/>
          <w:bCs/>
          <w:color w:val="E6007E"/>
          <w:kern w:val="0"/>
          <w:sz w:val="24"/>
          <w:szCs w:val="24"/>
        </w:rPr>
      </w:pPr>
      <w:r w:rsidRPr="000C2CB8">
        <w:rPr>
          <w:rFonts w:ascii="Arial" w:hAnsi="Arial" w:cs="Arial"/>
          <w:color w:val="E6007E"/>
          <w:kern w:val="0"/>
          <w:sz w:val="24"/>
          <w:szCs w:val="24"/>
        </w:rPr>
        <w:t>INDENNIZZI AUTOMATICI</w:t>
      </w:r>
    </w:p>
    <w:p w14:paraId="64569D4D" w14:textId="147CA087" w:rsidR="00440D67" w:rsidRDefault="006E73D3" w:rsidP="00440D67">
      <w:pPr>
        <w:autoSpaceDE w:val="0"/>
        <w:autoSpaceDN w:val="0"/>
        <w:adjustRightInd w:val="0"/>
        <w:spacing w:after="0" w:line="312" w:lineRule="auto"/>
        <w:jc w:val="both"/>
        <w:rPr>
          <w:rFonts w:ascii="Arial" w:hAnsi="Arial" w:cs="Arial"/>
          <w:b/>
          <w:bCs/>
          <w:kern w:val="0"/>
          <w:sz w:val="19"/>
          <w:szCs w:val="19"/>
        </w:rPr>
      </w:pPr>
      <w:r w:rsidRPr="00190800">
        <w:rPr>
          <w:rFonts w:ascii="Arial" w:hAnsi="Arial" w:cs="Arial"/>
          <w:b/>
          <w:bCs/>
          <w:kern w:val="0"/>
          <w:sz w:val="19"/>
          <w:szCs w:val="19"/>
        </w:rPr>
        <w:t>Qualità dei servizi di vendita di energia elettrica e di gas naturale</w:t>
      </w:r>
    </w:p>
    <w:p w14:paraId="5466A970" w14:textId="77777777" w:rsidR="000001F0" w:rsidRPr="000001F0" w:rsidRDefault="000001F0" w:rsidP="000001F0">
      <w:pPr>
        <w:autoSpaceDE w:val="0"/>
        <w:autoSpaceDN w:val="0"/>
        <w:adjustRightInd w:val="0"/>
        <w:spacing w:after="0" w:line="312" w:lineRule="auto"/>
        <w:jc w:val="both"/>
        <w:rPr>
          <w:rFonts w:ascii="Arial" w:hAnsi="Arial" w:cs="Arial"/>
          <w:sz w:val="19"/>
          <w:szCs w:val="19"/>
        </w:rPr>
      </w:pPr>
      <w:r w:rsidRPr="000001F0">
        <w:rPr>
          <w:rFonts w:ascii="Arial" w:hAnsi="Arial" w:cs="Arial"/>
          <w:sz w:val="19"/>
          <w:szCs w:val="19"/>
        </w:rPr>
        <w:t>I livelli di qualità commerciale del servizio di vendita dell’energia elettrica e del gas naturale sono definiti dal TESTO</w:t>
      </w:r>
    </w:p>
    <w:p w14:paraId="500E30A6" w14:textId="71FECBBF" w:rsidR="000001F0" w:rsidRPr="000001F0" w:rsidRDefault="000001F0" w:rsidP="000001F0">
      <w:pPr>
        <w:autoSpaceDE w:val="0"/>
        <w:autoSpaceDN w:val="0"/>
        <w:adjustRightInd w:val="0"/>
        <w:spacing w:after="0" w:line="312" w:lineRule="auto"/>
        <w:jc w:val="both"/>
        <w:rPr>
          <w:rFonts w:ascii="Arial" w:hAnsi="Arial" w:cs="Arial"/>
          <w:sz w:val="19"/>
          <w:szCs w:val="19"/>
        </w:rPr>
      </w:pPr>
      <w:r w:rsidRPr="000001F0">
        <w:rPr>
          <w:rFonts w:ascii="Arial" w:hAnsi="Arial" w:cs="Arial"/>
          <w:sz w:val="19"/>
          <w:szCs w:val="19"/>
        </w:rPr>
        <w:t>INTEGRATO DELLA REGOLAZIONE DELLA QUALITÀ DEI SERVIZI DI VENDITA DI ENERGIA ELETTRICA E DI GAS NATURALE (TIQV), di</w:t>
      </w:r>
      <w:r>
        <w:rPr>
          <w:rFonts w:ascii="Arial" w:hAnsi="Arial" w:cs="Arial"/>
          <w:sz w:val="19"/>
          <w:szCs w:val="19"/>
        </w:rPr>
        <w:t xml:space="preserve"> </w:t>
      </w:r>
      <w:r w:rsidRPr="000001F0">
        <w:rPr>
          <w:rFonts w:ascii="Arial" w:hAnsi="Arial" w:cs="Arial"/>
          <w:sz w:val="19"/>
          <w:szCs w:val="19"/>
        </w:rPr>
        <w:t>cui alla delibera dell’Autorità di Regolazione Energia Reti e Ambiente 413/2016/R/</w:t>
      </w:r>
      <w:proofErr w:type="spellStart"/>
      <w:r w:rsidRPr="000001F0">
        <w:rPr>
          <w:rFonts w:ascii="Arial" w:hAnsi="Arial" w:cs="Arial"/>
          <w:sz w:val="19"/>
          <w:szCs w:val="19"/>
        </w:rPr>
        <w:t>com</w:t>
      </w:r>
      <w:proofErr w:type="spellEnd"/>
      <w:r w:rsidRPr="000001F0">
        <w:rPr>
          <w:rFonts w:ascii="Arial" w:hAnsi="Arial" w:cs="Arial"/>
          <w:sz w:val="19"/>
          <w:szCs w:val="19"/>
        </w:rPr>
        <w:t xml:space="preserve"> </w:t>
      </w:r>
      <w:proofErr w:type="spellStart"/>
      <w:r w:rsidRPr="000001F0">
        <w:rPr>
          <w:rFonts w:ascii="Arial" w:hAnsi="Arial" w:cs="Arial"/>
          <w:sz w:val="19"/>
          <w:szCs w:val="19"/>
        </w:rPr>
        <w:t>s.m.i.</w:t>
      </w:r>
      <w:proofErr w:type="spellEnd"/>
    </w:p>
    <w:p w14:paraId="517BD4F4" w14:textId="77777777" w:rsidR="00255EF9" w:rsidRPr="00190800" w:rsidRDefault="00255EF9" w:rsidP="00440D67">
      <w:pPr>
        <w:autoSpaceDE w:val="0"/>
        <w:autoSpaceDN w:val="0"/>
        <w:adjustRightInd w:val="0"/>
        <w:spacing w:after="0" w:line="312" w:lineRule="auto"/>
        <w:jc w:val="both"/>
        <w:rPr>
          <w:rFonts w:ascii="Arial" w:hAnsi="Arial" w:cs="Arial"/>
          <w:b/>
          <w:bCs/>
          <w:kern w:val="0"/>
          <w:sz w:val="19"/>
          <w:szCs w:val="19"/>
        </w:rPr>
      </w:pPr>
    </w:p>
    <w:p w14:paraId="4FFB45E0" w14:textId="5874E0A0" w:rsidR="006E73D3" w:rsidRPr="00190800" w:rsidRDefault="00255EF9" w:rsidP="00255EF9">
      <w:pPr>
        <w:autoSpaceDE w:val="0"/>
        <w:autoSpaceDN w:val="0"/>
        <w:adjustRightInd w:val="0"/>
        <w:spacing w:after="0" w:line="312" w:lineRule="auto"/>
        <w:jc w:val="center"/>
        <w:rPr>
          <w:rFonts w:ascii="Arial" w:hAnsi="Arial" w:cs="Arial"/>
          <w:b/>
          <w:bCs/>
          <w:sz w:val="19"/>
          <w:szCs w:val="19"/>
        </w:rPr>
      </w:pPr>
      <w:r w:rsidRPr="00190800">
        <w:rPr>
          <w:rFonts w:ascii="Arial" w:hAnsi="Arial" w:cs="Arial"/>
          <w:b/>
          <w:bCs/>
          <w:sz w:val="19"/>
          <w:szCs w:val="19"/>
        </w:rPr>
        <w:t>Indicatori di qualità commerciale della vendita</w:t>
      </w:r>
    </w:p>
    <w:p w14:paraId="7BE4B136" w14:textId="56DB6110" w:rsidR="00255EF9" w:rsidRPr="00190800" w:rsidRDefault="00255EF9" w:rsidP="00440D67">
      <w:pPr>
        <w:autoSpaceDE w:val="0"/>
        <w:autoSpaceDN w:val="0"/>
        <w:adjustRightInd w:val="0"/>
        <w:spacing w:after="0" w:line="312" w:lineRule="auto"/>
        <w:jc w:val="both"/>
        <w:rPr>
          <w:rFonts w:ascii="Arial" w:hAnsi="Arial" w:cs="Arial"/>
          <w:sz w:val="19"/>
          <w:szCs w:val="19"/>
        </w:rPr>
      </w:pPr>
      <w:r w:rsidRPr="00190800">
        <w:rPr>
          <w:rFonts w:ascii="Arial" w:hAnsi="Arial" w:cs="Arial"/>
          <w:sz w:val="19"/>
          <w:szCs w:val="19"/>
        </w:rPr>
        <w:t xml:space="preserve">Al fine di definire i livelli specifici di qualità commerciale relativi alla vendita di energia elettrica o gas naturale, nel TIQV si fa riferimento ai seguenti indicatori di qualità: </w:t>
      </w:r>
    </w:p>
    <w:p w14:paraId="0915AE53" w14:textId="77777777" w:rsidR="00255EF9" w:rsidRPr="00190800" w:rsidRDefault="00255EF9" w:rsidP="00440D67">
      <w:pPr>
        <w:autoSpaceDE w:val="0"/>
        <w:autoSpaceDN w:val="0"/>
        <w:adjustRightInd w:val="0"/>
        <w:spacing w:after="0" w:line="312" w:lineRule="auto"/>
        <w:jc w:val="both"/>
        <w:rPr>
          <w:rFonts w:ascii="Arial" w:hAnsi="Arial" w:cs="Arial"/>
          <w:sz w:val="19"/>
          <w:szCs w:val="19"/>
        </w:rPr>
      </w:pPr>
    </w:p>
    <w:p w14:paraId="3DCC716F" w14:textId="77777777" w:rsidR="00255EF9" w:rsidRPr="00190800" w:rsidRDefault="00255EF9" w:rsidP="00440D67">
      <w:pPr>
        <w:autoSpaceDE w:val="0"/>
        <w:autoSpaceDN w:val="0"/>
        <w:adjustRightInd w:val="0"/>
        <w:spacing w:after="0" w:line="312" w:lineRule="auto"/>
        <w:jc w:val="both"/>
        <w:rPr>
          <w:rFonts w:ascii="Arial" w:hAnsi="Arial" w:cs="Arial"/>
          <w:sz w:val="19"/>
          <w:szCs w:val="19"/>
        </w:rPr>
      </w:pPr>
      <w:r w:rsidRPr="00190800">
        <w:rPr>
          <w:rFonts w:ascii="Arial" w:hAnsi="Arial" w:cs="Arial"/>
          <w:sz w:val="19"/>
          <w:szCs w:val="19"/>
        </w:rPr>
        <w:t xml:space="preserve">• tempo di risposta motivata a reclami scritti; </w:t>
      </w:r>
    </w:p>
    <w:p w14:paraId="1AC3AF2E" w14:textId="77777777" w:rsidR="00255EF9" w:rsidRPr="00190800" w:rsidRDefault="00255EF9" w:rsidP="00440D67">
      <w:pPr>
        <w:autoSpaceDE w:val="0"/>
        <w:autoSpaceDN w:val="0"/>
        <w:adjustRightInd w:val="0"/>
        <w:spacing w:after="0" w:line="312" w:lineRule="auto"/>
        <w:jc w:val="both"/>
        <w:rPr>
          <w:rFonts w:ascii="Arial" w:hAnsi="Arial" w:cs="Arial"/>
          <w:sz w:val="19"/>
          <w:szCs w:val="19"/>
        </w:rPr>
      </w:pPr>
      <w:r w:rsidRPr="00190800">
        <w:rPr>
          <w:rFonts w:ascii="Arial" w:hAnsi="Arial" w:cs="Arial"/>
          <w:sz w:val="19"/>
          <w:szCs w:val="19"/>
        </w:rPr>
        <w:t xml:space="preserve">• tempo di rettifica di fatturazione; </w:t>
      </w:r>
    </w:p>
    <w:p w14:paraId="350FBB99" w14:textId="68F826D2" w:rsidR="00255EF9" w:rsidRPr="00190800" w:rsidRDefault="00255EF9" w:rsidP="00440D67">
      <w:pPr>
        <w:autoSpaceDE w:val="0"/>
        <w:autoSpaceDN w:val="0"/>
        <w:adjustRightInd w:val="0"/>
        <w:spacing w:after="0" w:line="312" w:lineRule="auto"/>
        <w:jc w:val="both"/>
        <w:rPr>
          <w:rFonts w:ascii="Arial" w:hAnsi="Arial" w:cs="Arial"/>
          <w:sz w:val="19"/>
          <w:szCs w:val="19"/>
        </w:rPr>
      </w:pPr>
      <w:r w:rsidRPr="00190800">
        <w:rPr>
          <w:rFonts w:ascii="Arial" w:hAnsi="Arial" w:cs="Arial"/>
          <w:sz w:val="19"/>
          <w:szCs w:val="19"/>
        </w:rPr>
        <w:t>• tempo di rettifica di doppia fatturazione</w:t>
      </w:r>
    </w:p>
    <w:p w14:paraId="6B332E9D" w14:textId="77777777" w:rsidR="00190800" w:rsidRPr="00190800" w:rsidRDefault="00190800" w:rsidP="00440D67">
      <w:pPr>
        <w:autoSpaceDE w:val="0"/>
        <w:autoSpaceDN w:val="0"/>
        <w:adjustRightInd w:val="0"/>
        <w:spacing w:after="0" w:line="312" w:lineRule="auto"/>
        <w:jc w:val="both"/>
        <w:rPr>
          <w:rFonts w:ascii="Arial" w:hAnsi="Arial" w:cs="Arial"/>
          <w:sz w:val="19"/>
          <w:szCs w:val="19"/>
        </w:rPr>
      </w:pPr>
    </w:p>
    <w:p w14:paraId="3E945A79" w14:textId="39277443" w:rsidR="00190800" w:rsidRPr="00190800" w:rsidRDefault="00190800" w:rsidP="00190800">
      <w:pPr>
        <w:autoSpaceDE w:val="0"/>
        <w:autoSpaceDN w:val="0"/>
        <w:adjustRightInd w:val="0"/>
        <w:spacing w:after="0" w:line="312" w:lineRule="auto"/>
        <w:jc w:val="both"/>
        <w:rPr>
          <w:rFonts w:ascii="Arial" w:hAnsi="Arial" w:cs="Arial"/>
          <w:sz w:val="19"/>
          <w:szCs w:val="19"/>
        </w:rPr>
      </w:pPr>
      <w:r w:rsidRPr="00190800">
        <w:rPr>
          <w:rFonts w:ascii="Arial" w:hAnsi="Arial" w:cs="Arial"/>
          <w:sz w:val="19"/>
          <w:szCs w:val="19"/>
        </w:rPr>
        <w:t>Al fine di definire i livelli generali di qualità commerciale relativi alla vendita di energia elettrica o gas naturale, nel TIQV si fa riferimento ai seguenti indicatori di qualità:</w:t>
      </w:r>
    </w:p>
    <w:p w14:paraId="5C5FAA0C" w14:textId="77777777" w:rsidR="00190800" w:rsidRPr="00190800" w:rsidRDefault="00190800" w:rsidP="00190800">
      <w:pPr>
        <w:autoSpaceDE w:val="0"/>
        <w:autoSpaceDN w:val="0"/>
        <w:adjustRightInd w:val="0"/>
        <w:spacing w:after="0" w:line="312" w:lineRule="auto"/>
        <w:jc w:val="both"/>
        <w:rPr>
          <w:rFonts w:ascii="Arial" w:hAnsi="Arial" w:cs="Arial"/>
          <w:sz w:val="19"/>
          <w:szCs w:val="19"/>
        </w:rPr>
      </w:pPr>
    </w:p>
    <w:p w14:paraId="5D0B833F" w14:textId="77777777" w:rsidR="00190800" w:rsidRPr="00190800" w:rsidRDefault="00190800" w:rsidP="00190800">
      <w:pPr>
        <w:autoSpaceDE w:val="0"/>
        <w:autoSpaceDN w:val="0"/>
        <w:adjustRightInd w:val="0"/>
        <w:spacing w:after="0" w:line="312" w:lineRule="auto"/>
        <w:jc w:val="both"/>
        <w:rPr>
          <w:rFonts w:ascii="Arial" w:hAnsi="Arial" w:cs="Arial"/>
          <w:sz w:val="19"/>
          <w:szCs w:val="19"/>
        </w:rPr>
      </w:pPr>
      <w:r w:rsidRPr="00190800">
        <w:rPr>
          <w:rFonts w:ascii="Arial" w:hAnsi="Arial" w:cs="Arial"/>
          <w:sz w:val="19"/>
          <w:szCs w:val="19"/>
        </w:rPr>
        <w:t>• tempo di risposta a richieste scritte di informazioni.</w:t>
      </w:r>
    </w:p>
    <w:p w14:paraId="29C67C1E" w14:textId="77777777" w:rsidR="00190800" w:rsidRPr="00190800" w:rsidRDefault="00190800" w:rsidP="00440D67">
      <w:pPr>
        <w:autoSpaceDE w:val="0"/>
        <w:autoSpaceDN w:val="0"/>
        <w:adjustRightInd w:val="0"/>
        <w:spacing w:after="0" w:line="312" w:lineRule="auto"/>
        <w:jc w:val="both"/>
        <w:rPr>
          <w:rFonts w:ascii="Arial" w:hAnsi="Arial" w:cs="Arial"/>
          <w:sz w:val="19"/>
          <w:szCs w:val="19"/>
        </w:rPr>
      </w:pPr>
    </w:p>
    <w:p w14:paraId="3AB59C02" w14:textId="1FCD63BF" w:rsidR="006E73D3" w:rsidRPr="00190800" w:rsidRDefault="006E73D3" w:rsidP="00255EF9">
      <w:pPr>
        <w:autoSpaceDE w:val="0"/>
        <w:autoSpaceDN w:val="0"/>
        <w:adjustRightInd w:val="0"/>
        <w:spacing w:after="0" w:line="312" w:lineRule="auto"/>
        <w:jc w:val="center"/>
        <w:rPr>
          <w:rFonts w:ascii="Arial" w:hAnsi="Arial" w:cs="Arial"/>
          <w:b/>
          <w:bCs/>
          <w:sz w:val="19"/>
          <w:szCs w:val="19"/>
        </w:rPr>
      </w:pPr>
      <w:r w:rsidRPr="00190800">
        <w:rPr>
          <w:rFonts w:ascii="Arial" w:hAnsi="Arial" w:cs="Arial"/>
          <w:b/>
          <w:bCs/>
          <w:sz w:val="19"/>
          <w:szCs w:val="19"/>
        </w:rPr>
        <w:t>Standard specifici e generali di qualità commerciale della vendita</w:t>
      </w:r>
    </w:p>
    <w:p w14:paraId="44D3E072" w14:textId="76573DE4" w:rsidR="006E73D3" w:rsidRPr="00190800" w:rsidRDefault="006E73D3" w:rsidP="00440D67">
      <w:pPr>
        <w:autoSpaceDE w:val="0"/>
        <w:autoSpaceDN w:val="0"/>
        <w:adjustRightInd w:val="0"/>
        <w:spacing w:after="0" w:line="312" w:lineRule="auto"/>
        <w:jc w:val="both"/>
        <w:rPr>
          <w:rFonts w:ascii="Arial" w:hAnsi="Arial" w:cs="Arial"/>
          <w:sz w:val="19"/>
          <w:szCs w:val="19"/>
        </w:rPr>
      </w:pPr>
      <w:r w:rsidRPr="00190800">
        <w:rPr>
          <w:rFonts w:ascii="Arial" w:hAnsi="Arial" w:cs="Arial"/>
          <w:sz w:val="19"/>
          <w:szCs w:val="19"/>
        </w:rPr>
        <w:t>Gli standard specifici di qualità commerciale della vendita di energia elettrica o di gas naturale di cui all’Articolo 3, comma 3.1</w:t>
      </w:r>
      <w:r w:rsidR="00190800">
        <w:rPr>
          <w:rFonts w:ascii="Arial" w:hAnsi="Arial" w:cs="Arial"/>
          <w:sz w:val="19"/>
          <w:szCs w:val="19"/>
        </w:rPr>
        <w:t xml:space="preserve"> del TIQV</w:t>
      </w:r>
      <w:r w:rsidRPr="00190800">
        <w:rPr>
          <w:rFonts w:ascii="Arial" w:hAnsi="Arial" w:cs="Arial"/>
          <w:sz w:val="19"/>
          <w:szCs w:val="19"/>
        </w:rPr>
        <w:t xml:space="preserve">, sono definiti in tabella 1. </w:t>
      </w:r>
    </w:p>
    <w:p w14:paraId="57767181" w14:textId="77777777" w:rsidR="000001F0" w:rsidRDefault="000001F0" w:rsidP="00440D67">
      <w:pPr>
        <w:autoSpaceDE w:val="0"/>
        <w:autoSpaceDN w:val="0"/>
        <w:adjustRightInd w:val="0"/>
        <w:spacing w:after="0" w:line="312" w:lineRule="auto"/>
        <w:jc w:val="both"/>
        <w:rPr>
          <w:rFonts w:ascii="Arial" w:hAnsi="Arial" w:cs="Arial"/>
          <w:b/>
          <w:bCs/>
          <w:sz w:val="19"/>
          <w:szCs w:val="19"/>
        </w:rPr>
      </w:pPr>
    </w:p>
    <w:p w14:paraId="268FCCDB" w14:textId="710B3ED5" w:rsidR="006E73D3" w:rsidRPr="00190800" w:rsidRDefault="006E73D3" w:rsidP="00440D67">
      <w:pPr>
        <w:autoSpaceDE w:val="0"/>
        <w:autoSpaceDN w:val="0"/>
        <w:adjustRightInd w:val="0"/>
        <w:spacing w:after="0" w:line="312" w:lineRule="auto"/>
        <w:jc w:val="both"/>
        <w:rPr>
          <w:rFonts w:ascii="Arial" w:hAnsi="Arial" w:cs="Arial"/>
          <w:b/>
          <w:bCs/>
          <w:sz w:val="19"/>
          <w:szCs w:val="19"/>
        </w:rPr>
      </w:pPr>
      <w:r w:rsidRPr="00190800">
        <w:rPr>
          <w:rFonts w:ascii="Arial" w:hAnsi="Arial" w:cs="Arial"/>
          <w:b/>
          <w:bCs/>
          <w:sz w:val="19"/>
          <w:szCs w:val="19"/>
        </w:rPr>
        <w:t xml:space="preserve">Tabella 1 – Standard specifici di qualità commerciale della vendita di energia elettrica o di gas naturale </w:t>
      </w:r>
    </w:p>
    <w:p w14:paraId="55A9527B" w14:textId="77777777" w:rsidR="006E73D3" w:rsidRPr="00190800" w:rsidRDefault="006E73D3" w:rsidP="00440D67">
      <w:pPr>
        <w:autoSpaceDE w:val="0"/>
        <w:autoSpaceDN w:val="0"/>
        <w:adjustRightInd w:val="0"/>
        <w:spacing w:after="0" w:line="312" w:lineRule="auto"/>
        <w:jc w:val="both"/>
        <w:rPr>
          <w:rFonts w:ascii="Arial" w:hAnsi="Arial" w:cs="Arial"/>
          <w:sz w:val="19"/>
          <w:szCs w:val="19"/>
        </w:rPr>
      </w:pPr>
    </w:p>
    <w:tbl>
      <w:tblPr>
        <w:tblStyle w:val="Grigliatabella"/>
        <w:tblW w:w="0" w:type="auto"/>
        <w:jc w:val="center"/>
        <w:tblLook w:val="04A0" w:firstRow="1" w:lastRow="0" w:firstColumn="1" w:lastColumn="0" w:noHBand="0" w:noVBand="1"/>
      </w:tblPr>
      <w:tblGrid>
        <w:gridCol w:w="3749"/>
        <w:gridCol w:w="1686"/>
        <w:gridCol w:w="4193"/>
      </w:tblGrid>
      <w:tr w:rsidR="006E73D3" w:rsidRPr="00190800" w14:paraId="4D0D2FBB" w14:textId="77777777" w:rsidTr="00190800">
        <w:trPr>
          <w:jc w:val="center"/>
        </w:trPr>
        <w:tc>
          <w:tcPr>
            <w:tcW w:w="0" w:type="auto"/>
          </w:tcPr>
          <w:p w14:paraId="13AF4BBE" w14:textId="56159A34" w:rsidR="006E73D3" w:rsidRPr="00190800" w:rsidRDefault="006E73D3" w:rsidP="00255EF9">
            <w:pPr>
              <w:autoSpaceDE w:val="0"/>
              <w:autoSpaceDN w:val="0"/>
              <w:adjustRightInd w:val="0"/>
              <w:spacing w:line="312" w:lineRule="auto"/>
              <w:jc w:val="center"/>
              <w:rPr>
                <w:rFonts w:ascii="Arial" w:hAnsi="Arial" w:cs="Arial"/>
                <w:b/>
                <w:bCs/>
                <w:sz w:val="19"/>
                <w:szCs w:val="19"/>
              </w:rPr>
            </w:pPr>
            <w:r w:rsidRPr="00190800">
              <w:rPr>
                <w:rFonts w:ascii="Arial" w:hAnsi="Arial" w:cs="Arial"/>
                <w:b/>
                <w:bCs/>
                <w:sz w:val="19"/>
                <w:szCs w:val="19"/>
              </w:rPr>
              <w:t>Indicatore</w:t>
            </w:r>
          </w:p>
        </w:tc>
        <w:tc>
          <w:tcPr>
            <w:tcW w:w="0" w:type="auto"/>
          </w:tcPr>
          <w:p w14:paraId="7D732020" w14:textId="77777777" w:rsidR="00255EF9" w:rsidRPr="00190800" w:rsidRDefault="00255EF9" w:rsidP="00255EF9">
            <w:pPr>
              <w:autoSpaceDE w:val="0"/>
              <w:autoSpaceDN w:val="0"/>
              <w:adjustRightInd w:val="0"/>
              <w:spacing w:line="312" w:lineRule="auto"/>
              <w:jc w:val="center"/>
              <w:rPr>
                <w:rFonts w:ascii="Arial" w:hAnsi="Arial" w:cs="Arial"/>
                <w:b/>
                <w:bCs/>
                <w:sz w:val="19"/>
                <w:szCs w:val="19"/>
              </w:rPr>
            </w:pPr>
            <w:r w:rsidRPr="00190800">
              <w:rPr>
                <w:rFonts w:ascii="Arial" w:hAnsi="Arial" w:cs="Arial"/>
                <w:b/>
                <w:bCs/>
                <w:sz w:val="19"/>
                <w:szCs w:val="19"/>
              </w:rPr>
              <w:t xml:space="preserve">Standard specifico </w:t>
            </w:r>
          </w:p>
          <w:p w14:paraId="46F967D4" w14:textId="4DACE8FD" w:rsidR="006E73D3" w:rsidRPr="00190800" w:rsidRDefault="00255EF9" w:rsidP="00255EF9">
            <w:pPr>
              <w:autoSpaceDE w:val="0"/>
              <w:autoSpaceDN w:val="0"/>
              <w:adjustRightInd w:val="0"/>
              <w:spacing w:line="312" w:lineRule="auto"/>
              <w:jc w:val="center"/>
              <w:rPr>
                <w:rFonts w:ascii="Arial" w:hAnsi="Arial" w:cs="Arial"/>
                <w:b/>
                <w:bCs/>
                <w:sz w:val="19"/>
                <w:szCs w:val="19"/>
              </w:rPr>
            </w:pPr>
            <w:r w:rsidRPr="00190800">
              <w:rPr>
                <w:rFonts w:ascii="Arial" w:hAnsi="Arial" w:cs="Arial"/>
                <w:b/>
                <w:bCs/>
                <w:sz w:val="19"/>
                <w:szCs w:val="19"/>
              </w:rPr>
              <w:t>2017-2018</w:t>
            </w:r>
          </w:p>
        </w:tc>
        <w:tc>
          <w:tcPr>
            <w:tcW w:w="0" w:type="auto"/>
          </w:tcPr>
          <w:p w14:paraId="69110582" w14:textId="0821A06E" w:rsidR="006E73D3" w:rsidRPr="00190800" w:rsidRDefault="006E73D3" w:rsidP="00255EF9">
            <w:pPr>
              <w:autoSpaceDE w:val="0"/>
              <w:autoSpaceDN w:val="0"/>
              <w:adjustRightInd w:val="0"/>
              <w:spacing w:line="312" w:lineRule="auto"/>
              <w:jc w:val="center"/>
              <w:rPr>
                <w:rFonts w:ascii="Arial" w:hAnsi="Arial" w:cs="Arial"/>
                <w:b/>
                <w:bCs/>
                <w:sz w:val="19"/>
                <w:szCs w:val="19"/>
              </w:rPr>
            </w:pPr>
            <w:r w:rsidRPr="00190800">
              <w:rPr>
                <w:rFonts w:ascii="Arial" w:hAnsi="Arial" w:cs="Arial"/>
                <w:b/>
                <w:bCs/>
                <w:sz w:val="19"/>
                <w:szCs w:val="19"/>
              </w:rPr>
              <w:t>Standard specifico dal 2019</w:t>
            </w:r>
          </w:p>
        </w:tc>
      </w:tr>
      <w:tr w:rsidR="00255EF9" w:rsidRPr="00190800" w14:paraId="0C0DC02E" w14:textId="77777777" w:rsidTr="00190800">
        <w:trPr>
          <w:jc w:val="center"/>
        </w:trPr>
        <w:tc>
          <w:tcPr>
            <w:tcW w:w="0" w:type="auto"/>
          </w:tcPr>
          <w:p w14:paraId="0DECFB2B" w14:textId="36F63F29" w:rsidR="00255EF9" w:rsidRPr="00190800" w:rsidRDefault="00255EF9" w:rsidP="00255EF9">
            <w:pPr>
              <w:autoSpaceDE w:val="0"/>
              <w:autoSpaceDN w:val="0"/>
              <w:adjustRightInd w:val="0"/>
              <w:spacing w:line="312" w:lineRule="auto"/>
              <w:jc w:val="center"/>
              <w:rPr>
                <w:rFonts w:ascii="Arial" w:hAnsi="Arial" w:cs="Arial"/>
                <w:b/>
                <w:bCs/>
                <w:sz w:val="19"/>
                <w:szCs w:val="19"/>
              </w:rPr>
            </w:pPr>
            <w:r w:rsidRPr="00190800">
              <w:rPr>
                <w:rFonts w:ascii="Arial" w:hAnsi="Arial" w:cs="Arial"/>
                <w:sz w:val="19"/>
                <w:szCs w:val="19"/>
              </w:rPr>
              <w:t>Tempo massimo di risposta motivata ai reclami scritti</w:t>
            </w:r>
          </w:p>
        </w:tc>
        <w:tc>
          <w:tcPr>
            <w:tcW w:w="0" w:type="auto"/>
          </w:tcPr>
          <w:p w14:paraId="576C591E" w14:textId="5D484EA0" w:rsidR="00255EF9" w:rsidRPr="00190800" w:rsidRDefault="00255EF9" w:rsidP="00255EF9">
            <w:pPr>
              <w:autoSpaceDE w:val="0"/>
              <w:autoSpaceDN w:val="0"/>
              <w:adjustRightInd w:val="0"/>
              <w:spacing w:line="312" w:lineRule="auto"/>
              <w:jc w:val="center"/>
              <w:rPr>
                <w:rFonts w:ascii="Arial" w:hAnsi="Arial" w:cs="Arial"/>
                <w:b/>
                <w:bCs/>
                <w:sz w:val="19"/>
                <w:szCs w:val="19"/>
              </w:rPr>
            </w:pPr>
            <w:r w:rsidRPr="00190800">
              <w:rPr>
                <w:rFonts w:ascii="Arial" w:hAnsi="Arial" w:cs="Arial"/>
                <w:sz w:val="19"/>
                <w:szCs w:val="19"/>
              </w:rPr>
              <w:t>40 giorni solari</w:t>
            </w:r>
          </w:p>
        </w:tc>
        <w:tc>
          <w:tcPr>
            <w:tcW w:w="0" w:type="auto"/>
          </w:tcPr>
          <w:p w14:paraId="72A3AC16" w14:textId="5269CA11" w:rsidR="00255EF9" w:rsidRPr="00190800" w:rsidRDefault="00255EF9" w:rsidP="00255EF9">
            <w:pPr>
              <w:autoSpaceDE w:val="0"/>
              <w:autoSpaceDN w:val="0"/>
              <w:adjustRightInd w:val="0"/>
              <w:spacing w:line="312" w:lineRule="auto"/>
              <w:jc w:val="center"/>
              <w:rPr>
                <w:rFonts w:ascii="Arial" w:hAnsi="Arial" w:cs="Arial"/>
                <w:b/>
                <w:bCs/>
                <w:sz w:val="19"/>
                <w:szCs w:val="19"/>
              </w:rPr>
            </w:pPr>
            <w:r w:rsidRPr="00190800">
              <w:rPr>
                <w:rFonts w:ascii="Arial" w:hAnsi="Arial" w:cs="Arial"/>
                <w:sz w:val="19"/>
                <w:szCs w:val="19"/>
              </w:rPr>
              <w:t>30 giorni solari</w:t>
            </w:r>
          </w:p>
        </w:tc>
      </w:tr>
      <w:tr w:rsidR="00255EF9" w:rsidRPr="00190800" w14:paraId="0D26D90A" w14:textId="77777777" w:rsidTr="00190800">
        <w:trPr>
          <w:jc w:val="center"/>
        </w:trPr>
        <w:tc>
          <w:tcPr>
            <w:tcW w:w="0" w:type="auto"/>
          </w:tcPr>
          <w:p w14:paraId="069265AD" w14:textId="3DC81CE7" w:rsidR="00255EF9" w:rsidRPr="00190800" w:rsidRDefault="00255EF9" w:rsidP="00255EF9">
            <w:pPr>
              <w:autoSpaceDE w:val="0"/>
              <w:autoSpaceDN w:val="0"/>
              <w:adjustRightInd w:val="0"/>
              <w:spacing w:line="312" w:lineRule="auto"/>
              <w:jc w:val="center"/>
              <w:rPr>
                <w:rFonts w:ascii="Arial" w:hAnsi="Arial" w:cs="Arial"/>
                <w:b/>
                <w:bCs/>
                <w:sz w:val="19"/>
                <w:szCs w:val="19"/>
              </w:rPr>
            </w:pPr>
            <w:r w:rsidRPr="00190800">
              <w:rPr>
                <w:rFonts w:ascii="Arial" w:hAnsi="Arial" w:cs="Arial"/>
                <w:sz w:val="19"/>
                <w:szCs w:val="19"/>
              </w:rPr>
              <w:t>Tempo massimo di rettifica di fatturazione</w:t>
            </w:r>
          </w:p>
        </w:tc>
        <w:tc>
          <w:tcPr>
            <w:tcW w:w="0" w:type="auto"/>
          </w:tcPr>
          <w:p w14:paraId="395363D5" w14:textId="15C9AC76" w:rsidR="00255EF9" w:rsidRPr="00190800" w:rsidRDefault="00255EF9" w:rsidP="00255EF9">
            <w:pPr>
              <w:autoSpaceDE w:val="0"/>
              <w:autoSpaceDN w:val="0"/>
              <w:adjustRightInd w:val="0"/>
              <w:spacing w:line="312" w:lineRule="auto"/>
              <w:jc w:val="center"/>
              <w:rPr>
                <w:rFonts w:ascii="Arial" w:hAnsi="Arial" w:cs="Arial"/>
                <w:b/>
                <w:bCs/>
                <w:sz w:val="19"/>
                <w:szCs w:val="19"/>
              </w:rPr>
            </w:pPr>
            <w:r w:rsidRPr="00190800">
              <w:rPr>
                <w:rFonts w:ascii="Arial" w:hAnsi="Arial" w:cs="Arial"/>
                <w:sz w:val="19"/>
                <w:szCs w:val="19"/>
              </w:rPr>
              <w:t>90 giorni solari</w:t>
            </w:r>
          </w:p>
        </w:tc>
        <w:tc>
          <w:tcPr>
            <w:tcW w:w="0" w:type="auto"/>
          </w:tcPr>
          <w:p w14:paraId="148BE67A" w14:textId="74E9F019" w:rsidR="00255EF9" w:rsidRPr="00190800" w:rsidRDefault="00255EF9" w:rsidP="00255EF9">
            <w:pPr>
              <w:autoSpaceDE w:val="0"/>
              <w:autoSpaceDN w:val="0"/>
              <w:adjustRightInd w:val="0"/>
              <w:spacing w:line="312" w:lineRule="auto"/>
              <w:jc w:val="center"/>
              <w:rPr>
                <w:rFonts w:ascii="Arial" w:hAnsi="Arial" w:cs="Arial"/>
                <w:sz w:val="19"/>
                <w:szCs w:val="19"/>
              </w:rPr>
            </w:pPr>
            <w:r w:rsidRPr="00190800">
              <w:rPr>
                <w:rFonts w:ascii="Arial" w:hAnsi="Arial" w:cs="Arial"/>
                <w:sz w:val="19"/>
                <w:szCs w:val="19"/>
              </w:rPr>
              <w:t>60 giorni solari</w:t>
            </w:r>
          </w:p>
          <w:p w14:paraId="4F29AEE1" w14:textId="229DA33B" w:rsidR="00255EF9" w:rsidRPr="00190800" w:rsidRDefault="00255EF9" w:rsidP="00255EF9">
            <w:pPr>
              <w:autoSpaceDE w:val="0"/>
              <w:autoSpaceDN w:val="0"/>
              <w:adjustRightInd w:val="0"/>
              <w:spacing w:line="312" w:lineRule="auto"/>
              <w:jc w:val="center"/>
              <w:rPr>
                <w:rFonts w:ascii="Arial" w:hAnsi="Arial" w:cs="Arial"/>
                <w:b/>
                <w:bCs/>
                <w:sz w:val="19"/>
                <w:szCs w:val="19"/>
              </w:rPr>
            </w:pPr>
            <w:r w:rsidRPr="00190800">
              <w:rPr>
                <w:rFonts w:ascii="Arial" w:hAnsi="Arial" w:cs="Arial"/>
                <w:sz w:val="19"/>
                <w:szCs w:val="19"/>
              </w:rPr>
              <w:t>90 giorni solari per le fatture con periodicità quadrimestrale</w:t>
            </w:r>
          </w:p>
        </w:tc>
      </w:tr>
      <w:tr w:rsidR="00255EF9" w:rsidRPr="00190800" w14:paraId="070E2826" w14:textId="77777777" w:rsidTr="00190800">
        <w:trPr>
          <w:jc w:val="center"/>
        </w:trPr>
        <w:tc>
          <w:tcPr>
            <w:tcW w:w="0" w:type="auto"/>
          </w:tcPr>
          <w:p w14:paraId="0B75D0A2" w14:textId="47DD8FFB" w:rsidR="00255EF9" w:rsidRPr="00190800" w:rsidRDefault="00255EF9" w:rsidP="00255EF9">
            <w:pPr>
              <w:autoSpaceDE w:val="0"/>
              <w:autoSpaceDN w:val="0"/>
              <w:adjustRightInd w:val="0"/>
              <w:spacing w:line="312" w:lineRule="auto"/>
              <w:jc w:val="center"/>
              <w:rPr>
                <w:rFonts w:ascii="Arial" w:hAnsi="Arial" w:cs="Arial"/>
                <w:sz w:val="19"/>
                <w:szCs w:val="19"/>
              </w:rPr>
            </w:pPr>
            <w:r w:rsidRPr="00190800">
              <w:rPr>
                <w:rFonts w:ascii="Arial" w:hAnsi="Arial" w:cs="Arial"/>
                <w:sz w:val="19"/>
                <w:szCs w:val="19"/>
              </w:rPr>
              <w:t>Tempo massimo di rettifica di doppia fatturazione</w:t>
            </w:r>
          </w:p>
        </w:tc>
        <w:tc>
          <w:tcPr>
            <w:tcW w:w="0" w:type="auto"/>
          </w:tcPr>
          <w:p w14:paraId="41D19305" w14:textId="3A8C1413" w:rsidR="00255EF9" w:rsidRPr="00190800" w:rsidRDefault="00255EF9" w:rsidP="00255EF9">
            <w:pPr>
              <w:autoSpaceDE w:val="0"/>
              <w:autoSpaceDN w:val="0"/>
              <w:adjustRightInd w:val="0"/>
              <w:spacing w:line="312" w:lineRule="auto"/>
              <w:jc w:val="center"/>
              <w:rPr>
                <w:rFonts w:ascii="Arial" w:hAnsi="Arial" w:cs="Arial"/>
                <w:b/>
                <w:bCs/>
                <w:sz w:val="19"/>
                <w:szCs w:val="19"/>
              </w:rPr>
            </w:pPr>
            <w:r w:rsidRPr="00190800">
              <w:rPr>
                <w:rFonts w:ascii="Arial" w:hAnsi="Arial" w:cs="Arial"/>
                <w:sz w:val="19"/>
                <w:szCs w:val="19"/>
              </w:rPr>
              <w:t>20 giorni solari</w:t>
            </w:r>
          </w:p>
        </w:tc>
        <w:tc>
          <w:tcPr>
            <w:tcW w:w="0" w:type="auto"/>
          </w:tcPr>
          <w:p w14:paraId="2001FB30" w14:textId="3E2ED0CC" w:rsidR="00255EF9" w:rsidRPr="00190800" w:rsidRDefault="00255EF9" w:rsidP="00255EF9">
            <w:pPr>
              <w:autoSpaceDE w:val="0"/>
              <w:autoSpaceDN w:val="0"/>
              <w:adjustRightInd w:val="0"/>
              <w:spacing w:line="312" w:lineRule="auto"/>
              <w:jc w:val="center"/>
              <w:rPr>
                <w:rFonts w:ascii="Arial" w:hAnsi="Arial" w:cs="Arial"/>
                <w:b/>
                <w:bCs/>
                <w:sz w:val="19"/>
                <w:szCs w:val="19"/>
              </w:rPr>
            </w:pPr>
            <w:r w:rsidRPr="00190800">
              <w:rPr>
                <w:rFonts w:ascii="Arial" w:hAnsi="Arial" w:cs="Arial"/>
                <w:sz w:val="19"/>
                <w:szCs w:val="19"/>
              </w:rPr>
              <w:t>20 giorni solari</w:t>
            </w:r>
          </w:p>
        </w:tc>
      </w:tr>
    </w:tbl>
    <w:p w14:paraId="0E0DB4CF" w14:textId="77777777" w:rsidR="006E73D3" w:rsidRPr="00190800" w:rsidRDefault="006E73D3" w:rsidP="00440D67">
      <w:pPr>
        <w:autoSpaceDE w:val="0"/>
        <w:autoSpaceDN w:val="0"/>
        <w:adjustRightInd w:val="0"/>
        <w:spacing w:after="0" w:line="312" w:lineRule="auto"/>
        <w:jc w:val="both"/>
        <w:rPr>
          <w:rFonts w:ascii="Arial" w:hAnsi="Arial" w:cs="Arial"/>
          <w:b/>
          <w:bCs/>
          <w:sz w:val="19"/>
          <w:szCs w:val="19"/>
        </w:rPr>
      </w:pPr>
    </w:p>
    <w:p w14:paraId="0A9C795D" w14:textId="49DC4BBB" w:rsidR="00255EF9" w:rsidRPr="00190800" w:rsidRDefault="00255EF9" w:rsidP="00440D67">
      <w:pPr>
        <w:autoSpaceDE w:val="0"/>
        <w:autoSpaceDN w:val="0"/>
        <w:adjustRightInd w:val="0"/>
        <w:spacing w:after="0" w:line="312" w:lineRule="auto"/>
        <w:jc w:val="both"/>
        <w:rPr>
          <w:rFonts w:ascii="Arial" w:hAnsi="Arial" w:cs="Arial"/>
          <w:sz w:val="19"/>
          <w:szCs w:val="19"/>
        </w:rPr>
      </w:pPr>
      <w:r w:rsidRPr="00190800">
        <w:rPr>
          <w:rFonts w:ascii="Arial" w:hAnsi="Arial" w:cs="Arial"/>
          <w:sz w:val="19"/>
          <w:szCs w:val="19"/>
        </w:rPr>
        <w:t>Gli standard generali di qualità commerciale della vendita di energia elettrica o di gas naturale di cui all’articolo 3 comma 3.2</w:t>
      </w:r>
      <w:r w:rsidR="00190800">
        <w:rPr>
          <w:rFonts w:ascii="Arial" w:hAnsi="Arial" w:cs="Arial"/>
          <w:sz w:val="19"/>
          <w:szCs w:val="19"/>
        </w:rPr>
        <w:t xml:space="preserve"> del TIQV</w:t>
      </w:r>
      <w:r w:rsidRPr="00190800">
        <w:rPr>
          <w:rFonts w:ascii="Arial" w:hAnsi="Arial" w:cs="Arial"/>
          <w:sz w:val="19"/>
          <w:szCs w:val="19"/>
        </w:rPr>
        <w:t>, sono definiti in tabella 2.</w:t>
      </w:r>
    </w:p>
    <w:p w14:paraId="5FCD7120" w14:textId="77777777" w:rsidR="00255EF9" w:rsidRPr="000001F0" w:rsidRDefault="00255EF9" w:rsidP="00440D67">
      <w:pPr>
        <w:autoSpaceDE w:val="0"/>
        <w:autoSpaceDN w:val="0"/>
        <w:adjustRightInd w:val="0"/>
        <w:spacing w:after="0" w:line="312" w:lineRule="auto"/>
        <w:jc w:val="both"/>
        <w:rPr>
          <w:rFonts w:ascii="Arial" w:hAnsi="Arial" w:cs="Arial"/>
          <w:b/>
          <w:bCs/>
          <w:sz w:val="19"/>
          <w:szCs w:val="19"/>
        </w:rPr>
      </w:pPr>
    </w:p>
    <w:p w14:paraId="44D6F8D9" w14:textId="773EDDE0" w:rsidR="00255EF9" w:rsidRPr="000001F0" w:rsidRDefault="00255EF9" w:rsidP="00440D67">
      <w:pPr>
        <w:autoSpaceDE w:val="0"/>
        <w:autoSpaceDN w:val="0"/>
        <w:adjustRightInd w:val="0"/>
        <w:spacing w:after="0" w:line="312" w:lineRule="auto"/>
        <w:jc w:val="both"/>
        <w:rPr>
          <w:rFonts w:ascii="Arial" w:hAnsi="Arial" w:cs="Arial"/>
          <w:b/>
          <w:bCs/>
          <w:sz w:val="19"/>
          <w:szCs w:val="19"/>
        </w:rPr>
      </w:pPr>
      <w:r w:rsidRPr="000001F0">
        <w:rPr>
          <w:rFonts w:ascii="Arial" w:hAnsi="Arial" w:cs="Arial"/>
          <w:b/>
          <w:bCs/>
          <w:sz w:val="19"/>
          <w:szCs w:val="19"/>
        </w:rPr>
        <w:t>Tabella 2 - Standard generali di qualità commerciale della vendita di energia elettrica o di gas naturale</w:t>
      </w:r>
    </w:p>
    <w:tbl>
      <w:tblPr>
        <w:tblStyle w:val="Grigliatabella"/>
        <w:tblW w:w="0" w:type="auto"/>
        <w:tblLook w:val="04A0" w:firstRow="1" w:lastRow="0" w:firstColumn="1" w:lastColumn="0" w:noHBand="0" w:noVBand="1"/>
      </w:tblPr>
      <w:tblGrid>
        <w:gridCol w:w="4814"/>
        <w:gridCol w:w="4814"/>
      </w:tblGrid>
      <w:tr w:rsidR="00255EF9" w:rsidRPr="00190800" w14:paraId="202E7C80" w14:textId="77777777" w:rsidTr="00255EF9">
        <w:tc>
          <w:tcPr>
            <w:tcW w:w="4814" w:type="dxa"/>
          </w:tcPr>
          <w:p w14:paraId="43A9C2A0" w14:textId="30776FDD" w:rsidR="00255EF9" w:rsidRPr="000001F0" w:rsidRDefault="00255EF9" w:rsidP="000001F0">
            <w:pPr>
              <w:autoSpaceDE w:val="0"/>
              <w:autoSpaceDN w:val="0"/>
              <w:adjustRightInd w:val="0"/>
              <w:spacing w:line="312" w:lineRule="auto"/>
              <w:jc w:val="center"/>
              <w:rPr>
                <w:rFonts w:ascii="Arial" w:hAnsi="Arial" w:cs="Arial"/>
                <w:b/>
                <w:bCs/>
                <w:color w:val="595959" w:themeColor="text1" w:themeTint="A6"/>
                <w:kern w:val="0"/>
                <w:sz w:val="19"/>
                <w:szCs w:val="19"/>
              </w:rPr>
            </w:pPr>
            <w:r w:rsidRPr="000001F0">
              <w:rPr>
                <w:rFonts w:ascii="Arial" w:hAnsi="Arial" w:cs="Arial"/>
                <w:b/>
                <w:bCs/>
                <w:sz w:val="19"/>
                <w:szCs w:val="19"/>
              </w:rPr>
              <w:t>Indicatore</w:t>
            </w:r>
          </w:p>
        </w:tc>
        <w:tc>
          <w:tcPr>
            <w:tcW w:w="4814" w:type="dxa"/>
          </w:tcPr>
          <w:p w14:paraId="629C45CC" w14:textId="17DA7B60" w:rsidR="00255EF9" w:rsidRPr="000001F0" w:rsidRDefault="00255EF9" w:rsidP="000001F0">
            <w:pPr>
              <w:autoSpaceDE w:val="0"/>
              <w:autoSpaceDN w:val="0"/>
              <w:adjustRightInd w:val="0"/>
              <w:spacing w:line="312" w:lineRule="auto"/>
              <w:jc w:val="center"/>
              <w:rPr>
                <w:rFonts w:ascii="Arial" w:hAnsi="Arial" w:cs="Arial"/>
                <w:b/>
                <w:bCs/>
                <w:color w:val="595959" w:themeColor="text1" w:themeTint="A6"/>
                <w:kern w:val="0"/>
                <w:sz w:val="19"/>
                <w:szCs w:val="19"/>
              </w:rPr>
            </w:pPr>
            <w:r w:rsidRPr="000001F0">
              <w:rPr>
                <w:rFonts w:ascii="Arial" w:hAnsi="Arial" w:cs="Arial"/>
                <w:b/>
                <w:bCs/>
                <w:sz w:val="19"/>
                <w:szCs w:val="19"/>
              </w:rPr>
              <w:t>Standard generale</w:t>
            </w:r>
          </w:p>
        </w:tc>
      </w:tr>
      <w:tr w:rsidR="00255EF9" w:rsidRPr="00190800" w14:paraId="1532A322" w14:textId="77777777" w:rsidTr="00255EF9">
        <w:tc>
          <w:tcPr>
            <w:tcW w:w="4814" w:type="dxa"/>
          </w:tcPr>
          <w:p w14:paraId="326B08BA" w14:textId="34918D4F" w:rsidR="00255EF9" w:rsidRPr="00190800" w:rsidRDefault="00255EF9" w:rsidP="000001F0">
            <w:pPr>
              <w:autoSpaceDE w:val="0"/>
              <w:autoSpaceDN w:val="0"/>
              <w:adjustRightInd w:val="0"/>
              <w:spacing w:line="312" w:lineRule="auto"/>
              <w:jc w:val="center"/>
              <w:rPr>
                <w:rFonts w:ascii="Arial" w:hAnsi="Arial" w:cs="Arial"/>
                <w:b/>
                <w:bCs/>
                <w:color w:val="595959" w:themeColor="text1" w:themeTint="A6"/>
                <w:kern w:val="0"/>
                <w:sz w:val="19"/>
                <w:szCs w:val="19"/>
              </w:rPr>
            </w:pPr>
            <w:r w:rsidRPr="00190800">
              <w:rPr>
                <w:rFonts w:ascii="Arial" w:hAnsi="Arial" w:cs="Arial"/>
                <w:sz w:val="19"/>
                <w:szCs w:val="19"/>
              </w:rPr>
              <w:t>Percentuale minima di risposte a richieste scritte di informazioni inviate entro il tempo massimo di 30 giorni solari</w:t>
            </w:r>
          </w:p>
        </w:tc>
        <w:tc>
          <w:tcPr>
            <w:tcW w:w="4814" w:type="dxa"/>
          </w:tcPr>
          <w:p w14:paraId="314133B1" w14:textId="77777777" w:rsidR="00255EF9" w:rsidRPr="00190800" w:rsidRDefault="00255EF9" w:rsidP="000001F0">
            <w:pPr>
              <w:autoSpaceDE w:val="0"/>
              <w:autoSpaceDN w:val="0"/>
              <w:adjustRightInd w:val="0"/>
              <w:spacing w:line="312" w:lineRule="auto"/>
              <w:jc w:val="center"/>
              <w:rPr>
                <w:rFonts w:ascii="Arial" w:hAnsi="Arial" w:cs="Arial"/>
                <w:b/>
                <w:bCs/>
                <w:color w:val="595959" w:themeColor="text1" w:themeTint="A6"/>
                <w:kern w:val="0"/>
                <w:sz w:val="19"/>
                <w:szCs w:val="19"/>
              </w:rPr>
            </w:pPr>
          </w:p>
          <w:p w14:paraId="4F3A9352" w14:textId="124E4B02" w:rsidR="00255EF9" w:rsidRPr="00190800" w:rsidRDefault="00255EF9" w:rsidP="000001F0">
            <w:pPr>
              <w:ind w:firstLine="708"/>
              <w:jc w:val="center"/>
              <w:rPr>
                <w:rFonts w:ascii="Arial" w:hAnsi="Arial" w:cs="Arial"/>
                <w:sz w:val="19"/>
                <w:szCs w:val="19"/>
              </w:rPr>
            </w:pPr>
            <w:r w:rsidRPr="00190800">
              <w:rPr>
                <w:rFonts w:ascii="Arial" w:hAnsi="Arial" w:cs="Arial"/>
                <w:sz w:val="19"/>
                <w:szCs w:val="19"/>
              </w:rPr>
              <w:t>95%</w:t>
            </w:r>
          </w:p>
        </w:tc>
      </w:tr>
    </w:tbl>
    <w:p w14:paraId="09FA1A54" w14:textId="77777777" w:rsidR="00255EF9" w:rsidRDefault="00255EF9" w:rsidP="00440D67">
      <w:pPr>
        <w:autoSpaceDE w:val="0"/>
        <w:autoSpaceDN w:val="0"/>
        <w:adjustRightInd w:val="0"/>
        <w:spacing w:after="0" w:line="312" w:lineRule="auto"/>
        <w:jc w:val="both"/>
        <w:rPr>
          <w:rFonts w:ascii="Arial" w:hAnsi="Arial" w:cs="Arial"/>
          <w:b/>
          <w:bCs/>
          <w:color w:val="595959" w:themeColor="text1" w:themeTint="A6"/>
          <w:kern w:val="0"/>
          <w:sz w:val="19"/>
          <w:szCs w:val="19"/>
        </w:rPr>
      </w:pPr>
    </w:p>
    <w:p w14:paraId="1EA7784C" w14:textId="77777777" w:rsidR="00190800" w:rsidRDefault="00190800" w:rsidP="00440D67">
      <w:pPr>
        <w:autoSpaceDE w:val="0"/>
        <w:autoSpaceDN w:val="0"/>
        <w:adjustRightInd w:val="0"/>
        <w:spacing w:after="0" w:line="312" w:lineRule="auto"/>
        <w:jc w:val="both"/>
        <w:rPr>
          <w:rFonts w:ascii="Arial" w:hAnsi="Arial" w:cs="Arial"/>
          <w:b/>
          <w:bCs/>
          <w:color w:val="595959" w:themeColor="text1" w:themeTint="A6"/>
          <w:kern w:val="0"/>
          <w:sz w:val="19"/>
          <w:szCs w:val="19"/>
        </w:rPr>
      </w:pPr>
    </w:p>
    <w:p w14:paraId="61A7633D" w14:textId="77777777" w:rsidR="000001F0" w:rsidRDefault="000001F0" w:rsidP="00440D67">
      <w:pPr>
        <w:autoSpaceDE w:val="0"/>
        <w:autoSpaceDN w:val="0"/>
        <w:adjustRightInd w:val="0"/>
        <w:spacing w:after="0" w:line="312" w:lineRule="auto"/>
        <w:jc w:val="both"/>
        <w:rPr>
          <w:rFonts w:ascii="Arial" w:hAnsi="Arial" w:cs="Arial"/>
          <w:sz w:val="19"/>
          <w:szCs w:val="19"/>
        </w:rPr>
      </w:pPr>
    </w:p>
    <w:p w14:paraId="56BA0AB6" w14:textId="77777777" w:rsidR="000001F0" w:rsidRDefault="000001F0" w:rsidP="00440D67">
      <w:pPr>
        <w:autoSpaceDE w:val="0"/>
        <w:autoSpaceDN w:val="0"/>
        <w:adjustRightInd w:val="0"/>
        <w:spacing w:after="0" w:line="312" w:lineRule="auto"/>
        <w:jc w:val="both"/>
        <w:rPr>
          <w:rFonts w:ascii="Arial" w:hAnsi="Arial" w:cs="Arial"/>
          <w:sz w:val="19"/>
          <w:szCs w:val="19"/>
        </w:rPr>
      </w:pPr>
    </w:p>
    <w:p w14:paraId="53A7B320" w14:textId="77777777" w:rsidR="000001F0" w:rsidRDefault="000001F0" w:rsidP="00440D67">
      <w:pPr>
        <w:autoSpaceDE w:val="0"/>
        <w:autoSpaceDN w:val="0"/>
        <w:adjustRightInd w:val="0"/>
        <w:spacing w:after="0" w:line="312" w:lineRule="auto"/>
        <w:jc w:val="both"/>
        <w:rPr>
          <w:rFonts w:ascii="Arial" w:hAnsi="Arial" w:cs="Arial"/>
          <w:sz w:val="19"/>
          <w:szCs w:val="19"/>
        </w:rPr>
      </w:pPr>
    </w:p>
    <w:p w14:paraId="1AC3D84D" w14:textId="77777777" w:rsidR="000001F0" w:rsidRDefault="000001F0" w:rsidP="00440D67">
      <w:pPr>
        <w:autoSpaceDE w:val="0"/>
        <w:autoSpaceDN w:val="0"/>
        <w:adjustRightInd w:val="0"/>
        <w:spacing w:after="0" w:line="312" w:lineRule="auto"/>
        <w:jc w:val="both"/>
        <w:rPr>
          <w:rFonts w:ascii="Arial" w:hAnsi="Arial" w:cs="Arial"/>
          <w:sz w:val="19"/>
          <w:szCs w:val="19"/>
        </w:rPr>
      </w:pPr>
    </w:p>
    <w:p w14:paraId="60B2E4A0" w14:textId="48E8F91C" w:rsidR="00190800" w:rsidRPr="00190800" w:rsidRDefault="00190800" w:rsidP="00440D67">
      <w:pPr>
        <w:autoSpaceDE w:val="0"/>
        <w:autoSpaceDN w:val="0"/>
        <w:adjustRightInd w:val="0"/>
        <w:spacing w:after="0" w:line="312" w:lineRule="auto"/>
        <w:jc w:val="both"/>
        <w:rPr>
          <w:rFonts w:ascii="Arial" w:hAnsi="Arial" w:cs="Arial"/>
          <w:sz w:val="19"/>
          <w:szCs w:val="19"/>
        </w:rPr>
      </w:pPr>
      <w:r w:rsidRPr="00190800">
        <w:rPr>
          <w:rFonts w:ascii="Arial" w:hAnsi="Arial" w:cs="Arial"/>
          <w:sz w:val="19"/>
          <w:szCs w:val="19"/>
        </w:rPr>
        <w:t xml:space="preserve">In caso di mancato rispetto degli standard specifici di qualità definiti dall’Articolo 15, comma 15.1 del TIQV, il venditore corrisponde al cliente finale, in occasione della prima fatturazione utile, un indennizzo automatico base pari a 25 Euro. </w:t>
      </w:r>
    </w:p>
    <w:p w14:paraId="7B741C87" w14:textId="77777777" w:rsidR="000001F0" w:rsidRDefault="000001F0" w:rsidP="00440D67">
      <w:pPr>
        <w:autoSpaceDE w:val="0"/>
        <w:autoSpaceDN w:val="0"/>
        <w:adjustRightInd w:val="0"/>
        <w:spacing w:after="0" w:line="312" w:lineRule="auto"/>
        <w:jc w:val="both"/>
        <w:rPr>
          <w:rFonts w:ascii="Arial" w:hAnsi="Arial" w:cs="Arial"/>
          <w:sz w:val="19"/>
          <w:szCs w:val="19"/>
        </w:rPr>
      </w:pPr>
    </w:p>
    <w:p w14:paraId="41DCB410" w14:textId="2CA97181" w:rsidR="00190800" w:rsidRPr="00190800" w:rsidRDefault="00190800" w:rsidP="00440D67">
      <w:pPr>
        <w:autoSpaceDE w:val="0"/>
        <w:autoSpaceDN w:val="0"/>
        <w:adjustRightInd w:val="0"/>
        <w:spacing w:after="0" w:line="312" w:lineRule="auto"/>
        <w:jc w:val="both"/>
        <w:rPr>
          <w:rFonts w:ascii="Arial" w:hAnsi="Arial" w:cs="Arial"/>
          <w:sz w:val="19"/>
          <w:szCs w:val="19"/>
        </w:rPr>
      </w:pPr>
      <w:r w:rsidRPr="00190800">
        <w:rPr>
          <w:rFonts w:ascii="Arial" w:hAnsi="Arial" w:cs="Arial"/>
          <w:sz w:val="19"/>
          <w:szCs w:val="19"/>
        </w:rPr>
        <w:t xml:space="preserve">L’indennizzo automatico base di cui al precedente comma è crescente in relazione al ritardo nell’esecuzione della prestazione come indicato di seguito: </w:t>
      </w:r>
    </w:p>
    <w:p w14:paraId="437C1344" w14:textId="77777777" w:rsidR="00190800" w:rsidRDefault="00190800" w:rsidP="00440D67">
      <w:pPr>
        <w:autoSpaceDE w:val="0"/>
        <w:autoSpaceDN w:val="0"/>
        <w:adjustRightInd w:val="0"/>
        <w:spacing w:after="0" w:line="312" w:lineRule="auto"/>
        <w:jc w:val="both"/>
        <w:rPr>
          <w:rFonts w:ascii="Arial" w:hAnsi="Arial" w:cs="Arial"/>
          <w:sz w:val="19"/>
          <w:szCs w:val="19"/>
        </w:rPr>
      </w:pPr>
    </w:p>
    <w:p w14:paraId="2847F78C" w14:textId="09FBFD16" w:rsidR="00190800" w:rsidRPr="00190800" w:rsidRDefault="00190800" w:rsidP="00440D67">
      <w:pPr>
        <w:autoSpaceDE w:val="0"/>
        <w:autoSpaceDN w:val="0"/>
        <w:adjustRightInd w:val="0"/>
        <w:spacing w:after="0" w:line="312" w:lineRule="auto"/>
        <w:jc w:val="both"/>
        <w:rPr>
          <w:rFonts w:ascii="Arial" w:hAnsi="Arial" w:cs="Arial"/>
          <w:sz w:val="19"/>
          <w:szCs w:val="19"/>
        </w:rPr>
      </w:pPr>
      <w:r w:rsidRPr="00190800">
        <w:rPr>
          <w:rFonts w:ascii="Arial" w:hAnsi="Arial" w:cs="Arial"/>
          <w:sz w:val="19"/>
          <w:szCs w:val="19"/>
        </w:rPr>
        <w:t xml:space="preserve">a) se l’esecuzione della prestazione avviene oltre lo standard, ma entro un tempo doppio dello standard, è corrisposto l’indennizzo automatico base; </w:t>
      </w:r>
    </w:p>
    <w:p w14:paraId="024D8B2D" w14:textId="77777777" w:rsidR="00190800" w:rsidRPr="00190800" w:rsidRDefault="00190800" w:rsidP="00440D67">
      <w:pPr>
        <w:autoSpaceDE w:val="0"/>
        <w:autoSpaceDN w:val="0"/>
        <w:adjustRightInd w:val="0"/>
        <w:spacing w:after="0" w:line="312" w:lineRule="auto"/>
        <w:jc w:val="both"/>
        <w:rPr>
          <w:rFonts w:ascii="Arial" w:hAnsi="Arial" w:cs="Arial"/>
          <w:sz w:val="19"/>
          <w:szCs w:val="19"/>
        </w:rPr>
      </w:pPr>
      <w:r w:rsidRPr="00190800">
        <w:rPr>
          <w:rFonts w:ascii="Arial" w:hAnsi="Arial" w:cs="Arial"/>
          <w:sz w:val="19"/>
          <w:szCs w:val="19"/>
        </w:rPr>
        <w:t xml:space="preserve">b) se l’esecuzione della prestazione avviene oltre un tempo doppio dello standard, ma entro un tempo triplo dello standard, è corrisposto il doppio dell’indennizzo automatico base; </w:t>
      </w:r>
    </w:p>
    <w:p w14:paraId="44526506" w14:textId="6BF071E0" w:rsidR="00190800" w:rsidRDefault="00190800" w:rsidP="00440D67">
      <w:pPr>
        <w:autoSpaceDE w:val="0"/>
        <w:autoSpaceDN w:val="0"/>
        <w:adjustRightInd w:val="0"/>
        <w:spacing w:after="0" w:line="312" w:lineRule="auto"/>
        <w:jc w:val="both"/>
        <w:rPr>
          <w:rFonts w:ascii="Arial" w:hAnsi="Arial" w:cs="Arial"/>
          <w:sz w:val="19"/>
          <w:szCs w:val="19"/>
        </w:rPr>
      </w:pPr>
      <w:r w:rsidRPr="00190800">
        <w:rPr>
          <w:rFonts w:ascii="Arial" w:hAnsi="Arial" w:cs="Arial"/>
          <w:sz w:val="19"/>
          <w:szCs w:val="19"/>
        </w:rPr>
        <w:t>c) se l’esecuzione della prestazione avviene oltre un tempo triplo dello standard, è corrisposto il triplo dell’indennizzo automatico base.</w:t>
      </w:r>
    </w:p>
    <w:p w14:paraId="16F3247C" w14:textId="77777777" w:rsidR="00867B5A" w:rsidRDefault="00867B5A" w:rsidP="00440D67">
      <w:pPr>
        <w:autoSpaceDE w:val="0"/>
        <w:autoSpaceDN w:val="0"/>
        <w:adjustRightInd w:val="0"/>
        <w:spacing w:after="0" w:line="312" w:lineRule="auto"/>
        <w:jc w:val="both"/>
        <w:rPr>
          <w:rFonts w:ascii="Arial" w:hAnsi="Arial" w:cs="Arial"/>
          <w:sz w:val="19"/>
          <w:szCs w:val="19"/>
        </w:rPr>
      </w:pPr>
    </w:p>
    <w:p w14:paraId="7CE2CFC3" w14:textId="203F3B90" w:rsidR="00867B5A" w:rsidRDefault="00867B5A" w:rsidP="00440D67">
      <w:pPr>
        <w:autoSpaceDE w:val="0"/>
        <w:autoSpaceDN w:val="0"/>
        <w:adjustRightInd w:val="0"/>
        <w:spacing w:after="0" w:line="312" w:lineRule="auto"/>
        <w:jc w:val="both"/>
        <w:rPr>
          <w:rFonts w:ascii="Arial" w:hAnsi="Arial" w:cs="Arial"/>
          <w:sz w:val="19"/>
          <w:szCs w:val="19"/>
        </w:rPr>
      </w:pPr>
      <w:r w:rsidRPr="00867B5A">
        <w:rPr>
          <w:rFonts w:ascii="Arial" w:hAnsi="Arial" w:cs="Arial"/>
          <w:sz w:val="19"/>
          <w:szCs w:val="19"/>
        </w:rPr>
        <w:t>L’indennizzo automatico, ove dovuto, deve comunque essere corrisposto al cliente finale entro 6 mesi dalla data di ricevimento da parte del venditore del reclamo scritto o della richiesta di rettifica di doppia fatturazione, ad eccezione dei clienti con periodicità di fatturazione quadrimestrale, per cui il termine è fissato in 8 mesi</w:t>
      </w:r>
      <w:r>
        <w:t>.</w:t>
      </w:r>
    </w:p>
    <w:p w14:paraId="16D21371" w14:textId="77777777" w:rsidR="00867B5A" w:rsidRDefault="00867B5A" w:rsidP="00440D67">
      <w:pPr>
        <w:autoSpaceDE w:val="0"/>
        <w:autoSpaceDN w:val="0"/>
        <w:adjustRightInd w:val="0"/>
        <w:spacing w:after="0" w:line="312" w:lineRule="auto"/>
        <w:jc w:val="both"/>
        <w:rPr>
          <w:rFonts w:ascii="Arial" w:hAnsi="Arial" w:cs="Arial"/>
          <w:sz w:val="19"/>
          <w:szCs w:val="19"/>
        </w:rPr>
      </w:pPr>
    </w:p>
    <w:p w14:paraId="795AFD71" w14:textId="5EF3C6F4" w:rsidR="00867B5A" w:rsidRPr="007C1942" w:rsidRDefault="00867B5A" w:rsidP="00867B5A">
      <w:pPr>
        <w:autoSpaceDE w:val="0"/>
        <w:autoSpaceDN w:val="0"/>
        <w:adjustRightInd w:val="0"/>
        <w:spacing w:after="0" w:line="312" w:lineRule="auto"/>
        <w:jc w:val="both"/>
        <w:rPr>
          <w:rFonts w:ascii="Arial" w:hAnsi="Arial" w:cs="Arial"/>
          <w:sz w:val="19"/>
          <w:szCs w:val="19"/>
        </w:rPr>
      </w:pPr>
      <w:r w:rsidRPr="007C1942">
        <w:rPr>
          <w:rFonts w:ascii="Arial" w:hAnsi="Arial" w:cs="Arial"/>
          <w:sz w:val="19"/>
          <w:szCs w:val="19"/>
        </w:rPr>
        <w:t>Il Testo Integrato morosità elettrica (TIMOE delibera 258/2015/R/</w:t>
      </w:r>
      <w:proofErr w:type="spellStart"/>
      <w:r w:rsidRPr="007C1942">
        <w:rPr>
          <w:rFonts w:ascii="Arial" w:hAnsi="Arial" w:cs="Arial"/>
          <w:sz w:val="19"/>
          <w:szCs w:val="19"/>
        </w:rPr>
        <w:t>com</w:t>
      </w:r>
      <w:proofErr w:type="spellEnd"/>
      <w:r w:rsidRPr="007C1942">
        <w:rPr>
          <w:rFonts w:ascii="Arial" w:hAnsi="Arial" w:cs="Arial"/>
          <w:sz w:val="19"/>
          <w:szCs w:val="19"/>
        </w:rPr>
        <w:t xml:space="preserve"> e </w:t>
      </w:r>
      <w:proofErr w:type="spellStart"/>
      <w:r w:rsidRPr="007C1942">
        <w:rPr>
          <w:rFonts w:ascii="Arial" w:hAnsi="Arial" w:cs="Arial"/>
          <w:sz w:val="19"/>
          <w:szCs w:val="19"/>
        </w:rPr>
        <w:t>s.m.i.</w:t>
      </w:r>
      <w:proofErr w:type="spellEnd"/>
      <w:r w:rsidRPr="007C1942">
        <w:rPr>
          <w:rFonts w:ascii="Arial" w:hAnsi="Arial" w:cs="Arial"/>
          <w:sz w:val="19"/>
          <w:szCs w:val="19"/>
        </w:rPr>
        <w:t>) e il Testo Integrato morosità gas (TIMG -</w:t>
      </w:r>
      <w:r w:rsidRPr="007C1942">
        <w:rPr>
          <w:rFonts w:ascii="Arial" w:hAnsi="Arial" w:cs="Arial"/>
          <w:sz w:val="19"/>
          <w:szCs w:val="19"/>
        </w:rPr>
        <w:t xml:space="preserve"> </w:t>
      </w:r>
      <w:r w:rsidRPr="007C1942">
        <w:rPr>
          <w:rFonts w:ascii="Arial" w:hAnsi="Arial" w:cs="Arial"/>
          <w:sz w:val="19"/>
          <w:szCs w:val="19"/>
        </w:rPr>
        <w:t xml:space="preserve">delibera ARG/gas 99/11 </w:t>
      </w:r>
      <w:proofErr w:type="spellStart"/>
      <w:r w:rsidRPr="007C1942">
        <w:rPr>
          <w:rFonts w:ascii="Arial" w:hAnsi="Arial" w:cs="Arial"/>
          <w:sz w:val="19"/>
          <w:szCs w:val="19"/>
        </w:rPr>
        <w:t>s.m.i.</w:t>
      </w:r>
      <w:proofErr w:type="spellEnd"/>
      <w:r w:rsidRPr="007C1942">
        <w:rPr>
          <w:rFonts w:ascii="Arial" w:hAnsi="Arial" w:cs="Arial"/>
          <w:sz w:val="19"/>
          <w:szCs w:val="19"/>
        </w:rPr>
        <w:t>) prevedono, inoltre, ulteriori indennizzi automatici nei seguenti casi:</w:t>
      </w:r>
    </w:p>
    <w:p w14:paraId="1EFA83BE" w14:textId="129CB5C6" w:rsidR="00867B5A" w:rsidRPr="007C1942" w:rsidRDefault="00867B5A" w:rsidP="00867B5A">
      <w:pPr>
        <w:autoSpaceDE w:val="0"/>
        <w:autoSpaceDN w:val="0"/>
        <w:adjustRightInd w:val="0"/>
        <w:spacing w:after="0" w:line="312" w:lineRule="auto"/>
        <w:jc w:val="both"/>
        <w:rPr>
          <w:rFonts w:ascii="Arial" w:hAnsi="Arial" w:cs="Arial"/>
          <w:sz w:val="19"/>
          <w:szCs w:val="19"/>
        </w:rPr>
      </w:pPr>
      <w:r w:rsidRPr="007C1942">
        <w:rPr>
          <w:rFonts w:ascii="Arial" w:hAnsi="Arial" w:cs="Arial"/>
          <w:sz w:val="19"/>
          <w:szCs w:val="19"/>
        </w:rPr>
        <w:t>Sospensione o - per la fornitura di energia elettrica - riduzione di potenza per morosità nonostante il mancato invio della</w:t>
      </w:r>
      <w:r w:rsidRPr="007C1942">
        <w:rPr>
          <w:rFonts w:ascii="Arial" w:hAnsi="Arial" w:cs="Arial"/>
          <w:sz w:val="19"/>
          <w:szCs w:val="19"/>
        </w:rPr>
        <w:t xml:space="preserve"> </w:t>
      </w:r>
      <w:r w:rsidRPr="007C1942">
        <w:rPr>
          <w:rFonts w:ascii="Arial" w:hAnsi="Arial" w:cs="Arial"/>
          <w:sz w:val="19"/>
          <w:szCs w:val="19"/>
        </w:rPr>
        <w:t>comunicazione di costituzione in mora: 30 Euro</w:t>
      </w:r>
    </w:p>
    <w:p w14:paraId="18F36C71" w14:textId="1C5A520F" w:rsidR="00867B5A" w:rsidRPr="007C1942" w:rsidRDefault="00867B5A" w:rsidP="00867B5A">
      <w:pPr>
        <w:autoSpaceDE w:val="0"/>
        <w:autoSpaceDN w:val="0"/>
        <w:adjustRightInd w:val="0"/>
        <w:spacing w:after="0" w:line="312" w:lineRule="auto"/>
        <w:jc w:val="both"/>
        <w:rPr>
          <w:rFonts w:ascii="Arial" w:hAnsi="Arial" w:cs="Arial"/>
          <w:sz w:val="19"/>
          <w:szCs w:val="19"/>
        </w:rPr>
      </w:pPr>
      <w:r w:rsidRPr="007C1942">
        <w:rPr>
          <w:rFonts w:ascii="Arial" w:hAnsi="Arial" w:cs="Arial"/>
          <w:sz w:val="19"/>
          <w:szCs w:val="19"/>
        </w:rPr>
        <w:t>Sospensione o - per la fornitura di energia elettrica - riduzione di potenza per morosità nonostante il mancato rispetto del</w:t>
      </w:r>
      <w:r w:rsidRPr="007C1942">
        <w:rPr>
          <w:rFonts w:ascii="Arial" w:hAnsi="Arial" w:cs="Arial"/>
          <w:sz w:val="19"/>
          <w:szCs w:val="19"/>
        </w:rPr>
        <w:t xml:space="preserve"> </w:t>
      </w:r>
      <w:r w:rsidRPr="007C1942">
        <w:rPr>
          <w:rFonts w:ascii="Arial" w:hAnsi="Arial" w:cs="Arial"/>
          <w:sz w:val="19"/>
          <w:szCs w:val="19"/>
        </w:rPr>
        <w:t>termine ultimo entro cui il cliente è tenuto a provvedere al pagamento: 20 Euro</w:t>
      </w:r>
    </w:p>
    <w:p w14:paraId="1736A3BE" w14:textId="531B8A3E" w:rsidR="00867B5A" w:rsidRPr="00867B5A" w:rsidRDefault="00867B5A" w:rsidP="00867B5A">
      <w:pPr>
        <w:autoSpaceDE w:val="0"/>
        <w:autoSpaceDN w:val="0"/>
        <w:adjustRightInd w:val="0"/>
        <w:spacing w:after="0" w:line="312" w:lineRule="auto"/>
        <w:jc w:val="both"/>
        <w:rPr>
          <w:rFonts w:ascii="Arial" w:hAnsi="Arial" w:cs="Arial"/>
          <w:sz w:val="19"/>
          <w:szCs w:val="19"/>
        </w:rPr>
      </w:pPr>
      <w:r w:rsidRPr="007C1942">
        <w:rPr>
          <w:rFonts w:ascii="Arial" w:hAnsi="Arial" w:cs="Arial"/>
          <w:sz w:val="19"/>
          <w:szCs w:val="19"/>
        </w:rPr>
        <w:t>Sospensione o - per la fornitura di energia elettrica - riduzione di potenza per morosità nonostante il mancato rispetto del</w:t>
      </w:r>
      <w:r w:rsidRPr="007C1942">
        <w:rPr>
          <w:rFonts w:ascii="Arial" w:hAnsi="Arial" w:cs="Arial"/>
          <w:sz w:val="19"/>
          <w:szCs w:val="19"/>
        </w:rPr>
        <w:t xml:space="preserve"> </w:t>
      </w:r>
      <w:r w:rsidRPr="007C1942">
        <w:rPr>
          <w:rFonts w:ascii="Arial" w:hAnsi="Arial" w:cs="Arial"/>
          <w:sz w:val="19"/>
          <w:szCs w:val="19"/>
        </w:rPr>
        <w:t>termine minimo tra la data di scadenza del termine ultimo di pagamento e la data di richiesta all’impresa distributrice (di</w:t>
      </w:r>
      <w:r w:rsidRPr="007C1942">
        <w:rPr>
          <w:rFonts w:ascii="Arial" w:hAnsi="Arial" w:cs="Arial"/>
          <w:sz w:val="19"/>
          <w:szCs w:val="19"/>
        </w:rPr>
        <w:t xml:space="preserve"> </w:t>
      </w:r>
      <w:r w:rsidRPr="007C1942">
        <w:rPr>
          <w:rFonts w:ascii="Arial" w:hAnsi="Arial" w:cs="Arial"/>
          <w:sz w:val="19"/>
          <w:szCs w:val="19"/>
        </w:rPr>
        <w:t>chiusura del punto di riconsegna) per la sospensione della fornitura o - per la fornitura di energia elettrica - riduzione di</w:t>
      </w:r>
      <w:r w:rsidRPr="007C1942">
        <w:rPr>
          <w:rFonts w:ascii="Arial" w:hAnsi="Arial" w:cs="Arial"/>
          <w:sz w:val="19"/>
          <w:szCs w:val="19"/>
        </w:rPr>
        <w:t xml:space="preserve"> </w:t>
      </w:r>
      <w:r w:rsidRPr="007C1942">
        <w:rPr>
          <w:rFonts w:ascii="Arial" w:hAnsi="Arial" w:cs="Arial"/>
          <w:sz w:val="19"/>
          <w:szCs w:val="19"/>
        </w:rPr>
        <w:t>potenza per morosità: 20 Euro</w:t>
      </w:r>
    </w:p>
    <w:p w14:paraId="6618AF69" w14:textId="77777777" w:rsidR="000C2CB8" w:rsidRDefault="000C2CB8" w:rsidP="00867B5A">
      <w:pPr>
        <w:autoSpaceDE w:val="0"/>
        <w:autoSpaceDN w:val="0"/>
        <w:adjustRightInd w:val="0"/>
        <w:spacing w:after="0" w:line="312" w:lineRule="auto"/>
        <w:jc w:val="both"/>
        <w:rPr>
          <w:rFonts w:ascii="AkkoPro-Medium" w:hAnsi="AkkoPro-Medium" w:cs="AkkoPro-Medium"/>
          <w:color w:val="2EA1BE"/>
          <w:kern w:val="0"/>
          <w:sz w:val="20"/>
          <w:szCs w:val="20"/>
        </w:rPr>
      </w:pPr>
    </w:p>
    <w:p w14:paraId="479A6879" w14:textId="7576B55D" w:rsidR="00867B5A" w:rsidRPr="000C2CB8" w:rsidRDefault="000C2CB8" w:rsidP="00867B5A">
      <w:pPr>
        <w:autoSpaceDE w:val="0"/>
        <w:autoSpaceDN w:val="0"/>
        <w:adjustRightInd w:val="0"/>
        <w:spacing w:after="0" w:line="312" w:lineRule="auto"/>
        <w:jc w:val="both"/>
        <w:rPr>
          <w:rFonts w:ascii="Arial" w:hAnsi="Arial" w:cs="Arial"/>
          <w:b/>
          <w:bCs/>
          <w:sz w:val="19"/>
          <w:szCs w:val="19"/>
        </w:rPr>
      </w:pPr>
      <w:r w:rsidRPr="000C2CB8">
        <w:rPr>
          <w:rFonts w:ascii="Arial" w:hAnsi="Arial" w:cs="Arial"/>
          <w:b/>
          <w:bCs/>
          <w:sz w:val="19"/>
          <w:szCs w:val="19"/>
        </w:rPr>
        <w:t>Qualità dei servizi di distribuzione di energia elettrica</w:t>
      </w:r>
    </w:p>
    <w:p w14:paraId="1EA71F41" w14:textId="53C3FB12" w:rsid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Al fine di definire i livelli specifici e generali di qualità commerciale relativi al servizio</w:t>
      </w:r>
      <w:r>
        <w:rPr>
          <w:rFonts w:ascii="Arial" w:hAnsi="Arial" w:cs="Arial"/>
          <w:sz w:val="19"/>
          <w:szCs w:val="19"/>
        </w:rPr>
        <w:t xml:space="preserve"> </w:t>
      </w:r>
      <w:r w:rsidRPr="00712184">
        <w:rPr>
          <w:rFonts w:ascii="Arial" w:hAnsi="Arial" w:cs="Arial"/>
          <w:sz w:val="19"/>
          <w:szCs w:val="19"/>
        </w:rPr>
        <w:t>di distribuzione dell’energia elettrica</w:t>
      </w:r>
      <w:r w:rsidR="00E43C64">
        <w:rPr>
          <w:rFonts w:ascii="Arial" w:hAnsi="Arial" w:cs="Arial"/>
          <w:sz w:val="19"/>
          <w:szCs w:val="19"/>
        </w:rPr>
        <w:t xml:space="preserve"> in Bassa Tensione</w:t>
      </w:r>
      <w:r w:rsidRPr="00712184">
        <w:rPr>
          <w:rFonts w:ascii="Arial" w:hAnsi="Arial" w:cs="Arial"/>
          <w:sz w:val="19"/>
          <w:szCs w:val="19"/>
        </w:rPr>
        <w:t>, si fa riferimento ai seguenti indicatori di qualità:</w:t>
      </w:r>
    </w:p>
    <w:p w14:paraId="7C8822DA"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p>
    <w:p w14:paraId="0C66BF55"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tempo di preventivazione;</w:t>
      </w:r>
    </w:p>
    <w:p w14:paraId="5CC6D4A1"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tempo di esecuzione di lavori semplici;</w:t>
      </w:r>
    </w:p>
    <w:p w14:paraId="52D7F988"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tempo di esecuzione di lavori complessi;</w:t>
      </w:r>
    </w:p>
    <w:p w14:paraId="428CB677"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tempo per l’effettuazione della verifica della tensione di fornitura;</w:t>
      </w:r>
    </w:p>
    <w:p w14:paraId="2B40C7D3"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tempo di ripristino del valore corretto della tensione di fornitura;</w:t>
      </w:r>
    </w:p>
    <w:p w14:paraId="5648E5A9" w14:textId="155B5893"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tempo di risposta motivata a reclami scritti o a richieste di informazione scritte</w:t>
      </w:r>
      <w:r>
        <w:rPr>
          <w:rFonts w:ascii="Arial" w:hAnsi="Arial" w:cs="Arial"/>
          <w:sz w:val="19"/>
          <w:szCs w:val="19"/>
        </w:rPr>
        <w:t xml:space="preserve"> </w:t>
      </w:r>
      <w:r w:rsidRPr="00712184">
        <w:rPr>
          <w:rFonts w:ascii="Arial" w:hAnsi="Arial" w:cs="Arial"/>
          <w:sz w:val="19"/>
          <w:szCs w:val="19"/>
        </w:rPr>
        <w:t>relative al servizio di distribuzione;</w:t>
      </w:r>
    </w:p>
    <w:p w14:paraId="459F5ED5"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fascia di puntualità per gli appuntamenti con il cliente finale;</w:t>
      </w:r>
    </w:p>
    <w:p w14:paraId="0E05F470"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tempo di messa a disposizione di dati tecnici richiesti dal venditore.</w:t>
      </w:r>
    </w:p>
    <w:p w14:paraId="4E9FC0D7" w14:textId="77777777" w:rsidR="00712184" w:rsidRDefault="00712184" w:rsidP="00712184">
      <w:pPr>
        <w:autoSpaceDE w:val="0"/>
        <w:autoSpaceDN w:val="0"/>
        <w:adjustRightInd w:val="0"/>
        <w:spacing w:after="0" w:line="312" w:lineRule="auto"/>
        <w:jc w:val="both"/>
        <w:rPr>
          <w:rFonts w:ascii="Arial" w:hAnsi="Arial" w:cs="Arial"/>
          <w:sz w:val="19"/>
          <w:szCs w:val="19"/>
        </w:rPr>
      </w:pPr>
    </w:p>
    <w:p w14:paraId="49BF7465" w14:textId="5303AA0E" w:rsid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Al fine di definire i livelli specifici e generali di qualità commerciale relativi al servizio</w:t>
      </w:r>
      <w:r>
        <w:rPr>
          <w:rFonts w:ascii="Arial" w:hAnsi="Arial" w:cs="Arial"/>
          <w:sz w:val="19"/>
          <w:szCs w:val="19"/>
        </w:rPr>
        <w:t xml:space="preserve"> </w:t>
      </w:r>
      <w:r w:rsidRPr="00712184">
        <w:rPr>
          <w:rFonts w:ascii="Arial" w:hAnsi="Arial" w:cs="Arial"/>
          <w:sz w:val="19"/>
          <w:szCs w:val="19"/>
        </w:rPr>
        <w:t>di misura dell’energia elettrica, si fa riferimento ai seguenti indicatori di qualità:</w:t>
      </w:r>
    </w:p>
    <w:p w14:paraId="69765BC3"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p>
    <w:p w14:paraId="50E11CA2"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tempo di attivazione della fornitura;</w:t>
      </w:r>
    </w:p>
    <w:p w14:paraId="671459CD"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lastRenderedPageBreak/>
        <w:t>- tempo di disattivazione della fornitura;</w:t>
      </w:r>
    </w:p>
    <w:p w14:paraId="12C5FD58"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tempo di riattivazione della fornitura in seguito a sospensione per morosità;</w:t>
      </w:r>
    </w:p>
    <w:p w14:paraId="5094D3B6"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tempo di ripristino della fornitura in seguito a guasto del gruppo di misura;</w:t>
      </w:r>
    </w:p>
    <w:p w14:paraId="788AD68A"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tempo per l’effettuazione della verifica del gruppo di misura;</w:t>
      </w:r>
    </w:p>
    <w:p w14:paraId="01555BC8" w14:textId="77777777" w:rsidR="00712184" w:rsidRP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tempo di sostituzione del gruppo di misura guasto;</w:t>
      </w:r>
    </w:p>
    <w:p w14:paraId="511A49A0" w14:textId="77777777" w:rsidR="00712184" w:rsidRDefault="00712184" w:rsidP="00712184">
      <w:pPr>
        <w:autoSpaceDE w:val="0"/>
        <w:autoSpaceDN w:val="0"/>
        <w:adjustRightInd w:val="0"/>
        <w:spacing w:after="0" w:line="312" w:lineRule="auto"/>
        <w:jc w:val="both"/>
        <w:rPr>
          <w:rFonts w:ascii="Arial" w:hAnsi="Arial" w:cs="Arial"/>
          <w:sz w:val="19"/>
          <w:szCs w:val="19"/>
        </w:rPr>
      </w:pPr>
      <w:r w:rsidRPr="00712184">
        <w:rPr>
          <w:rFonts w:ascii="Arial" w:hAnsi="Arial" w:cs="Arial"/>
          <w:sz w:val="19"/>
          <w:szCs w:val="19"/>
        </w:rPr>
        <w:t>- tempo di risposta motivata a reclami scritti o a richieste di informazione scritte</w:t>
      </w:r>
      <w:r>
        <w:rPr>
          <w:rFonts w:ascii="Arial" w:hAnsi="Arial" w:cs="Arial"/>
          <w:sz w:val="19"/>
          <w:szCs w:val="19"/>
        </w:rPr>
        <w:t xml:space="preserve"> </w:t>
      </w:r>
      <w:r w:rsidRPr="00712184">
        <w:rPr>
          <w:rFonts w:ascii="Arial" w:hAnsi="Arial" w:cs="Arial"/>
          <w:sz w:val="19"/>
          <w:szCs w:val="19"/>
        </w:rPr>
        <w:t>relative al servizio di misura.</w:t>
      </w:r>
    </w:p>
    <w:p w14:paraId="6A9FD065" w14:textId="77777777" w:rsidR="00D70B51" w:rsidRDefault="00D70B51" w:rsidP="00712184">
      <w:pPr>
        <w:autoSpaceDE w:val="0"/>
        <w:autoSpaceDN w:val="0"/>
        <w:adjustRightInd w:val="0"/>
        <w:spacing w:after="0" w:line="312" w:lineRule="auto"/>
        <w:jc w:val="both"/>
        <w:rPr>
          <w:rFonts w:ascii="Arial" w:hAnsi="Arial" w:cs="Arial"/>
          <w:sz w:val="19"/>
          <w:szCs w:val="19"/>
        </w:rPr>
      </w:pPr>
    </w:p>
    <w:p w14:paraId="03F6DE75" w14:textId="0982BD81" w:rsidR="00D70B51" w:rsidRPr="00E43C64" w:rsidRDefault="00E43C64" w:rsidP="00712184">
      <w:pPr>
        <w:autoSpaceDE w:val="0"/>
        <w:autoSpaceDN w:val="0"/>
        <w:adjustRightInd w:val="0"/>
        <w:spacing w:after="0" w:line="312" w:lineRule="auto"/>
        <w:jc w:val="both"/>
        <w:rPr>
          <w:b/>
          <w:bCs/>
        </w:rPr>
      </w:pPr>
      <w:r w:rsidRPr="00E43C64">
        <w:rPr>
          <w:b/>
          <w:bCs/>
        </w:rPr>
        <w:t>I livelli specifici di qualità commerciale del servizio sono definiti nella Tabella 1.</w:t>
      </w:r>
    </w:p>
    <w:p w14:paraId="638265E2" w14:textId="43CDB837" w:rsidR="00E43C64" w:rsidRPr="00E43C64" w:rsidRDefault="00E43C64" w:rsidP="00712184">
      <w:pPr>
        <w:autoSpaceDE w:val="0"/>
        <w:autoSpaceDN w:val="0"/>
        <w:adjustRightInd w:val="0"/>
        <w:spacing w:after="0" w:line="312" w:lineRule="auto"/>
        <w:jc w:val="both"/>
        <w:rPr>
          <w:b/>
          <w:bCs/>
        </w:rPr>
      </w:pPr>
      <w:r w:rsidRPr="00E43C64">
        <w:rPr>
          <w:b/>
          <w:bCs/>
        </w:rPr>
        <w:t>Tabella 1 – Livelli specifici di qualità commerciale</w:t>
      </w:r>
    </w:p>
    <w:tbl>
      <w:tblPr>
        <w:tblStyle w:val="Grigliatabella"/>
        <w:tblW w:w="5000" w:type="pct"/>
        <w:jc w:val="center"/>
        <w:tblLook w:val="04A0" w:firstRow="1" w:lastRow="0" w:firstColumn="1" w:lastColumn="0" w:noHBand="0" w:noVBand="1"/>
      </w:tblPr>
      <w:tblGrid>
        <w:gridCol w:w="4814"/>
        <w:gridCol w:w="4814"/>
      </w:tblGrid>
      <w:tr w:rsidR="00E43C64" w:rsidRPr="00E43C64" w14:paraId="3B10C793" w14:textId="77777777" w:rsidTr="00E43C64">
        <w:trPr>
          <w:jc w:val="center"/>
        </w:trPr>
        <w:tc>
          <w:tcPr>
            <w:tcW w:w="2500" w:type="pct"/>
          </w:tcPr>
          <w:p w14:paraId="4442A063" w14:textId="73ABF041" w:rsidR="00E43C64" w:rsidRPr="00E43C64" w:rsidRDefault="00E43C64" w:rsidP="00E43C64">
            <w:pPr>
              <w:tabs>
                <w:tab w:val="left" w:pos="1841"/>
              </w:tabs>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ab/>
            </w:r>
          </w:p>
        </w:tc>
        <w:tc>
          <w:tcPr>
            <w:tcW w:w="2500" w:type="pct"/>
          </w:tcPr>
          <w:p w14:paraId="4B0FDFFD" w14:textId="37C89D51" w:rsidR="00E43C64" w:rsidRPr="00E43C64" w:rsidRDefault="00E43C64" w:rsidP="00E43C64">
            <w:pPr>
              <w:autoSpaceDE w:val="0"/>
              <w:autoSpaceDN w:val="0"/>
              <w:adjustRightInd w:val="0"/>
              <w:spacing w:line="312" w:lineRule="auto"/>
              <w:jc w:val="center"/>
              <w:rPr>
                <w:rFonts w:ascii="Arial" w:hAnsi="Arial" w:cs="Arial"/>
                <w:b/>
                <w:bCs/>
                <w:sz w:val="19"/>
                <w:szCs w:val="19"/>
              </w:rPr>
            </w:pPr>
            <w:r w:rsidRPr="00E43C64">
              <w:rPr>
                <w:rFonts w:ascii="Arial" w:hAnsi="Arial" w:cs="Arial"/>
                <w:b/>
                <w:bCs/>
                <w:sz w:val="19"/>
                <w:szCs w:val="19"/>
              </w:rPr>
              <w:t>Clienti BT</w:t>
            </w:r>
          </w:p>
        </w:tc>
      </w:tr>
      <w:tr w:rsidR="00E43C64" w:rsidRPr="00E43C64" w14:paraId="0D4E8F96" w14:textId="77777777" w:rsidTr="00E43C64">
        <w:trPr>
          <w:jc w:val="center"/>
        </w:trPr>
        <w:tc>
          <w:tcPr>
            <w:tcW w:w="2500" w:type="pct"/>
          </w:tcPr>
          <w:p w14:paraId="0DC52401" w14:textId="0A622ED9"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di preventivazione per l’esecuzione di lavori sulla rete BT per connessioni ordinarie</w:t>
            </w:r>
          </w:p>
        </w:tc>
        <w:tc>
          <w:tcPr>
            <w:tcW w:w="2500" w:type="pct"/>
          </w:tcPr>
          <w:p w14:paraId="5F02E66B" w14:textId="021EE7EB"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15 giorni lavorativi</w:t>
            </w:r>
          </w:p>
        </w:tc>
      </w:tr>
      <w:tr w:rsidR="00E43C64" w:rsidRPr="00E43C64" w14:paraId="199E63B6" w14:textId="77777777" w:rsidTr="00E43C64">
        <w:trPr>
          <w:jc w:val="center"/>
        </w:trPr>
        <w:tc>
          <w:tcPr>
            <w:tcW w:w="2500" w:type="pct"/>
          </w:tcPr>
          <w:p w14:paraId="5F93C06A" w14:textId="38CCB695"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di preventivazione per l’esecuzione di lavori sulla rete BT per connessioni temporanee</w:t>
            </w:r>
          </w:p>
        </w:tc>
        <w:tc>
          <w:tcPr>
            <w:tcW w:w="2500" w:type="pct"/>
          </w:tcPr>
          <w:p w14:paraId="424985CA" w14:textId="54DFFD1A"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10 giorni lavorativi</w:t>
            </w:r>
          </w:p>
        </w:tc>
      </w:tr>
      <w:tr w:rsidR="00E43C64" w:rsidRPr="00E43C64" w14:paraId="5108E42E" w14:textId="77777777" w:rsidTr="00E43C64">
        <w:trPr>
          <w:jc w:val="center"/>
        </w:trPr>
        <w:tc>
          <w:tcPr>
            <w:tcW w:w="2500" w:type="pct"/>
          </w:tcPr>
          <w:p w14:paraId="2224A301" w14:textId="2A2C800A"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di esecuzione di lavori semplici per connessioni ordinarie</w:t>
            </w:r>
          </w:p>
        </w:tc>
        <w:tc>
          <w:tcPr>
            <w:tcW w:w="2500" w:type="pct"/>
          </w:tcPr>
          <w:p w14:paraId="728E1D59" w14:textId="3F517DD2"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10 giorni lavorativi</w:t>
            </w:r>
          </w:p>
        </w:tc>
      </w:tr>
      <w:tr w:rsidR="00E43C64" w:rsidRPr="00E43C64" w14:paraId="2E3E8E68" w14:textId="77777777" w:rsidTr="00E43C64">
        <w:trPr>
          <w:jc w:val="center"/>
        </w:trPr>
        <w:tc>
          <w:tcPr>
            <w:tcW w:w="2500" w:type="pct"/>
          </w:tcPr>
          <w:p w14:paraId="3EA977BD" w14:textId="31843452"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di esecuzione di lavori semplici per connessioni temporanee con potenza disponibile prima e dopo l’attivazione entro i 40 kW e distanza massima di 20 metri dagli impianti di rete permanenti esistenti</w:t>
            </w:r>
          </w:p>
        </w:tc>
        <w:tc>
          <w:tcPr>
            <w:tcW w:w="2500" w:type="pct"/>
          </w:tcPr>
          <w:p w14:paraId="066365A1" w14:textId="52901851"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5 giorni lavorativi</w:t>
            </w:r>
          </w:p>
        </w:tc>
      </w:tr>
      <w:tr w:rsidR="00E43C64" w:rsidRPr="00E43C64" w14:paraId="606B45F9" w14:textId="77777777" w:rsidTr="00E43C64">
        <w:trPr>
          <w:jc w:val="center"/>
        </w:trPr>
        <w:tc>
          <w:tcPr>
            <w:tcW w:w="2500" w:type="pct"/>
          </w:tcPr>
          <w:p w14:paraId="30E9F91C" w14:textId="217B640D"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di esecuzione di lavori semplici per connessioni temporanee con potenza disponibile prima e dopo l’attivazione oltre i 40 kW e/o distanza massima superiore a 20 metri dagli impianti di rete permanenti esistenti</w:t>
            </w:r>
          </w:p>
        </w:tc>
        <w:tc>
          <w:tcPr>
            <w:tcW w:w="2500" w:type="pct"/>
          </w:tcPr>
          <w:p w14:paraId="1B066C09" w14:textId="14D2EB5B"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10 giorni lavorativi</w:t>
            </w:r>
          </w:p>
        </w:tc>
      </w:tr>
      <w:tr w:rsidR="00E43C64" w:rsidRPr="00E43C64" w14:paraId="7B2B8789" w14:textId="77777777" w:rsidTr="00E43C64">
        <w:trPr>
          <w:jc w:val="center"/>
        </w:trPr>
        <w:tc>
          <w:tcPr>
            <w:tcW w:w="2500" w:type="pct"/>
          </w:tcPr>
          <w:p w14:paraId="532DA317" w14:textId="2577731B"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per l’esecuzione di lavori complessi</w:t>
            </w:r>
          </w:p>
        </w:tc>
        <w:tc>
          <w:tcPr>
            <w:tcW w:w="2500" w:type="pct"/>
          </w:tcPr>
          <w:p w14:paraId="18D69554" w14:textId="561666B6"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50 giorni lavorativi</w:t>
            </w:r>
          </w:p>
        </w:tc>
      </w:tr>
      <w:tr w:rsidR="00E43C64" w:rsidRPr="00E43C64" w14:paraId="7BE828F0" w14:textId="77777777" w:rsidTr="00E43C64">
        <w:trPr>
          <w:jc w:val="center"/>
        </w:trPr>
        <w:tc>
          <w:tcPr>
            <w:tcW w:w="2500" w:type="pct"/>
          </w:tcPr>
          <w:p w14:paraId="70B2E1E8" w14:textId="69A0BA39"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di comunicazione dell’esito della verifica della tensione di fornitura</w:t>
            </w:r>
          </w:p>
        </w:tc>
        <w:tc>
          <w:tcPr>
            <w:tcW w:w="2500" w:type="pct"/>
          </w:tcPr>
          <w:p w14:paraId="199172A7" w14:textId="762AA623"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20 giorni lavorativi</w:t>
            </w:r>
          </w:p>
        </w:tc>
      </w:tr>
      <w:tr w:rsidR="00E43C64" w:rsidRPr="00E43C64" w14:paraId="3C8C1B75" w14:textId="77777777" w:rsidTr="00E43C64">
        <w:trPr>
          <w:jc w:val="center"/>
        </w:trPr>
        <w:tc>
          <w:tcPr>
            <w:tcW w:w="2500" w:type="pct"/>
          </w:tcPr>
          <w:p w14:paraId="437210BF" w14:textId="0F3E08B3"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di ripristino del valore corretto della tensione di fornitura</w:t>
            </w:r>
          </w:p>
        </w:tc>
        <w:tc>
          <w:tcPr>
            <w:tcW w:w="2500" w:type="pct"/>
          </w:tcPr>
          <w:p w14:paraId="09F95059" w14:textId="10821B62"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50 giorni lavorativi</w:t>
            </w:r>
          </w:p>
        </w:tc>
      </w:tr>
      <w:tr w:rsidR="00E43C64" w:rsidRPr="00E43C64" w14:paraId="621514EF" w14:textId="77777777" w:rsidTr="00E43C64">
        <w:trPr>
          <w:jc w:val="center"/>
        </w:trPr>
        <w:tc>
          <w:tcPr>
            <w:tcW w:w="2500" w:type="pct"/>
          </w:tcPr>
          <w:p w14:paraId="34C7BDE5" w14:textId="246F1555"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Fascia massima di puntualità per appuntamenti con il cliente finale (inclusi gli appuntamenti posticipati)</w:t>
            </w:r>
          </w:p>
        </w:tc>
        <w:tc>
          <w:tcPr>
            <w:tcW w:w="2500" w:type="pct"/>
          </w:tcPr>
          <w:p w14:paraId="6DCCBA54" w14:textId="1C54A742"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2 ore</w:t>
            </w:r>
          </w:p>
        </w:tc>
      </w:tr>
      <w:tr w:rsidR="00E43C64" w:rsidRPr="00E43C64" w14:paraId="77159F6A" w14:textId="77777777" w:rsidTr="00E43C64">
        <w:trPr>
          <w:jc w:val="center"/>
        </w:trPr>
        <w:tc>
          <w:tcPr>
            <w:tcW w:w="2500" w:type="pct"/>
          </w:tcPr>
          <w:p w14:paraId="7FA27B8D" w14:textId="03BD1BD6"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di attivazione della fornitura</w:t>
            </w:r>
          </w:p>
        </w:tc>
        <w:tc>
          <w:tcPr>
            <w:tcW w:w="2500" w:type="pct"/>
          </w:tcPr>
          <w:p w14:paraId="176ACBB5" w14:textId="62FA0610"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5 giorni lavorativi</w:t>
            </w:r>
          </w:p>
        </w:tc>
      </w:tr>
      <w:tr w:rsidR="00E43C64" w:rsidRPr="00E43C64" w14:paraId="546F2EBE" w14:textId="77777777" w:rsidTr="00E43C64">
        <w:trPr>
          <w:jc w:val="center"/>
        </w:trPr>
        <w:tc>
          <w:tcPr>
            <w:tcW w:w="2500" w:type="pct"/>
          </w:tcPr>
          <w:p w14:paraId="3D77214A" w14:textId="5A40E6D0"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di disattivazione della fornitura su richiesta del cliente finale</w:t>
            </w:r>
          </w:p>
        </w:tc>
        <w:tc>
          <w:tcPr>
            <w:tcW w:w="2500" w:type="pct"/>
          </w:tcPr>
          <w:p w14:paraId="1E44E76E" w14:textId="06EE5321"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5 giorni lavorativi</w:t>
            </w:r>
          </w:p>
        </w:tc>
      </w:tr>
      <w:tr w:rsidR="00E43C64" w:rsidRPr="00E43C64" w14:paraId="511926BD" w14:textId="77777777" w:rsidTr="00E43C64">
        <w:trPr>
          <w:jc w:val="center"/>
        </w:trPr>
        <w:tc>
          <w:tcPr>
            <w:tcW w:w="2500" w:type="pct"/>
          </w:tcPr>
          <w:p w14:paraId="48610950" w14:textId="29455C44"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di riattivazione della fornitura in seguito a sospensione per morosità</w:t>
            </w:r>
          </w:p>
        </w:tc>
        <w:tc>
          <w:tcPr>
            <w:tcW w:w="2500" w:type="pct"/>
          </w:tcPr>
          <w:p w14:paraId="4DAF172E" w14:textId="0E1E9105"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1 giorno feriale (</w:t>
            </w:r>
            <w:r w:rsidRPr="00E43C64">
              <w:rPr>
                <w:rFonts w:ascii="Arial" w:hAnsi="Arial" w:cs="Arial"/>
                <w:sz w:val="19"/>
                <w:szCs w:val="19"/>
                <w:vertAlign w:val="superscript"/>
              </w:rPr>
              <w:t>2</w:t>
            </w:r>
            <w:r w:rsidRPr="00E43C64">
              <w:rPr>
                <w:rFonts w:ascii="Arial" w:hAnsi="Arial" w:cs="Arial"/>
                <w:sz w:val="19"/>
                <w:szCs w:val="19"/>
              </w:rPr>
              <w:t>)</w:t>
            </w:r>
          </w:p>
        </w:tc>
      </w:tr>
      <w:tr w:rsidR="00E43C64" w:rsidRPr="00E43C64" w14:paraId="511436B5" w14:textId="77777777" w:rsidTr="00E43C64">
        <w:trPr>
          <w:jc w:val="center"/>
        </w:trPr>
        <w:tc>
          <w:tcPr>
            <w:tcW w:w="2500" w:type="pct"/>
          </w:tcPr>
          <w:p w14:paraId="40E5102B" w14:textId="38F21968"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di ripristino della fornitura in seguito a guasto del gruppo di misura</w:t>
            </w:r>
          </w:p>
        </w:tc>
        <w:tc>
          <w:tcPr>
            <w:tcW w:w="2500" w:type="pct"/>
          </w:tcPr>
          <w:p w14:paraId="2EAA29D9" w14:textId="3ECD8181"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3 ore (</w:t>
            </w:r>
            <w:r w:rsidRPr="00E43C64">
              <w:rPr>
                <w:rFonts w:ascii="Arial" w:hAnsi="Arial" w:cs="Arial"/>
                <w:sz w:val="19"/>
                <w:szCs w:val="19"/>
                <w:vertAlign w:val="superscript"/>
              </w:rPr>
              <w:t>3</w:t>
            </w:r>
            <w:r w:rsidRPr="00E43C64">
              <w:rPr>
                <w:rFonts w:ascii="Arial" w:hAnsi="Arial" w:cs="Arial"/>
                <w:sz w:val="19"/>
                <w:szCs w:val="19"/>
              </w:rPr>
              <w:t>) 4 ore (</w:t>
            </w:r>
            <w:r w:rsidRPr="00E43C64">
              <w:rPr>
                <w:rFonts w:ascii="Arial" w:hAnsi="Arial" w:cs="Arial"/>
                <w:sz w:val="19"/>
                <w:szCs w:val="19"/>
                <w:vertAlign w:val="superscript"/>
              </w:rPr>
              <w:t>4</w:t>
            </w:r>
            <w:r w:rsidRPr="00E43C64">
              <w:rPr>
                <w:rFonts w:ascii="Arial" w:hAnsi="Arial" w:cs="Arial"/>
                <w:sz w:val="19"/>
                <w:szCs w:val="19"/>
              </w:rPr>
              <w:t>)</w:t>
            </w:r>
          </w:p>
        </w:tc>
      </w:tr>
      <w:tr w:rsidR="00E43C64" w:rsidRPr="00E43C64" w14:paraId="0C9DB46E" w14:textId="77777777" w:rsidTr="00E43C64">
        <w:trPr>
          <w:jc w:val="center"/>
        </w:trPr>
        <w:tc>
          <w:tcPr>
            <w:tcW w:w="2500" w:type="pct"/>
          </w:tcPr>
          <w:p w14:paraId="5CA2BAE1" w14:textId="2146BF3C"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di comunicazione dell’esito della verifica del gruppo di misura</w:t>
            </w:r>
          </w:p>
        </w:tc>
        <w:tc>
          <w:tcPr>
            <w:tcW w:w="2500" w:type="pct"/>
          </w:tcPr>
          <w:p w14:paraId="2F5A630E" w14:textId="77777777" w:rsidR="00E43C64" w:rsidRPr="00E43C64" w:rsidRDefault="00E43C64" w:rsidP="00E43C6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15 giorni</w:t>
            </w:r>
          </w:p>
          <w:p w14:paraId="69E83748" w14:textId="3996CA28" w:rsidR="00E43C64" w:rsidRPr="00E43C64" w:rsidRDefault="00E43C64" w:rsidP="00E43C6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lavorativi</w:t>
            </w:r>
          </w:p>
        </w:tc>
      </w:tr>
      <w:tr w:rsidR="00E43C64" w:rsidRPr="00E43C64" w14:paraId="61AF68A6" w14:textId="77777777" w:rsidTr="00E43C64">
        <w:trPr>
          <w:jc w:val="center"/>
        </w:trPr>
        <w:tc>
          <w:tcPr>
            <w:tcW w:w="2500" w:type="pct"/>
          </w:tcPr>
          <w:p w14:paraId="0A7C6332" w14:textId="7D8B9B80" w:rsidR="00E43C64" w:rsidRPr="00E43C64" w:rsidRDefault="00E43C64" w:rsidP="0071218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Tempo massimo di sostituzione del gruppo di misura guasto</w:t>
            </w:r>
          </w:p>
        </w:tc>
        <w:tc>
          <w:tcPr>
            <w:tcW w:w="2500" w:type="pct"/>
          </w:tcPr>
          <w:p w14:paraId="1E41C971" w14:textId="77777777" w:rsidR="00E43C64" w:rsidRPr="00E43C64" w:rsidRDefault="00E43C64" w:rsidP="00E43C6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15 giorni</w:t>
            </w:r>
          </w:p>
          <w:p w14:paraId="60F63DD8" w14:textId="5CD9BB15" w:rsidR="00E43C64" w:rsidRPr="00E43C64" w:rsidRDefault="00E43C64" w:rsidP="00E43C64">
            <w:pPr>
              <w:autoSpaceDE w:val="0"/>
              <w:autoSpaceDN w:val="0"/>
              <w:adjustRightInd w:val="0"/>
              <w:spacing w:line="312" w:lineRule="auto"/>
              <w:jc w:val="both"/>
              <w:rPr>
                <w:rFonts w:ascii="Arial" w:hAnsi="Arial" w:cs="Arial"/>
                <w:sz w:val="19"/>
                <w:szCs w:val="19"/>
              </w:rPr>
            </w:pPr>
            <w:r w:rsidRPr="00E43C64">
              <w:rPr>
                <w:rFonts w:ascii="Arial" w:hAnsi="Arial" w:cs="Arial"/>
                <w:sz w:val="19"/>
                <w:szCs w:val="19"/>
              </w:rPr>
              <w:t>lavorativi</w:t>
            </w:r>
          </w:p>
        </w:tc>
      </w:tr>
    </w:tbl>
    <w:p w14:paraId="238136FD" w14:textId="77777777" w:rsidR="00E43C64" w:rsidRDefault="00E43C64" w:rsidP="00712184">
      <w:pPr>
        <w:autoSpaceDE w:val="0"/>
        <w:autoSpaceDN w:val="0"/>
        <w:adjustRightInd w:val="0"/>
        <w:spacing w:after="0" w:line="312" w:lineRule="auto"/>
        <w:jc w:val="both"/>
        <w:rPr>
          <w:rFonts w:ascii="Arial" w:hAnsi="Arial" w:cs="Arial"/>
          <w:sz w:val="19"/>
          <w:szCs w:val="19"/>
        </w:rPr>
      </w:pPr>
    </w:p>
    <w:p w14:paraId="0C10E466" w14:textId="793180E3" w:rsidR="00867B5A" w:rsidRPr="00712184" w:rsidRDefault="00712184" w:rsidP="00712184">
      <w:pPr>
        <w:autoSpaceDE w:val="0"/>
        <w:autoSpaceDN w:val="0"/>
        <w:adjustRightInd w:val="0"/>
        <w:spacing w:after="0" w:line="312" w:lineRule="auto"/>
        <w:jc w:val="both"/>
        <w:rPr>
          <w:rFonts w:ascii="Arial" w:hAnsi="Arial" w:cs="Arial"/>
          <w:sz w:val="16"/>
          <w:szCs w:val="16"/>
        </w:rPr>
      </w:pPr>
      <w:r w:rsidRPr="00712184">
        <w:rPr>
          <w:rFonts w:ascii="Arial" w:hAnsi="Arial" w:cs="Arial"/>
          <w:color w:val="808080" w:themeColor="background1" w:themeShade="80"/>
          <w:sz w:val="16"/>
          <w:szCs w:val="16"/>
        </w:rPr>
        <w:t>(</w:t>
      </w:r>
      <w:r w:rsidRPr="00E43C64">
        <w:rPr>
          <w:rFonts w:ascii="Arial" w:hAnsi="Arial" w:cs="Arial"/>
          <w:color w:val="808080" w:themeColor="background1" w:themeShade="80"/>
          <w:sz w:val="16"/>
          <w:szCs w:val="16"/>
          <w:vertAlign w:val="superscript"/>
        </w:rPr>
        <w:t>2</w:t>
      </w:r>
      <w:r w:rsidRPr="00712184">
        <w:rPr>
          <w:rFonts w:ascii="Arial" w:hAnsi="Arial" w:cs="Arial"/>
          <w:color w:val="808080" w:themeColor="background1" w:themeShade="80"/>
          <w:sz w:val="16"/>
          <w:szCs w:val="16"/>
        </w:rPr>
        <w:t>) in caso di riduzione della potenza disponibile fino ad un valore non inferiore al 15% della potenza contrattualmente impegnata, lo standard applicabile è 1 giorno lavorativo; (</w:t>
      </w:r>
      <w:r w:rsidRPr="00E43C64">
        <w:rPr>
          <w:rFonts w:ascii="Arial" w:hAnsi="Arial" w:cs="Arial"/>
          <w:color w:val="808080" w:themeColor="background1" w:themeShade="80"/>
          <w:sz w:val="16"/>
          <w:szCs w:val="16"/>
          <w:vertAlign w:val="superscript"/>
        </w:rPr>
        <w:t>3</w:t>
      </w:r>
      <w:r w:rsidRPr="00712184">
        <w:rPr>
          <w:rFonts w:ascii="Arial" w:hAnsi="Arial" w:cs="Arial"/>
          <w:color w:val="808080" w:themeColor="background1" w:themeShade="80"/>
          <w:sz w:val="16"/>
          <w:szCs w:val="16"/>
        </w:rPr>
        <w:t>) richieste pervenute nei giorni lavorativi dalle ore 8.00 alle ore 18.00; nel caso intervento su appuntamento richiesto dal cliente contestualmente alla segnalazione del guasto, si applica la fascia di puntualità di 2 ore (</w:t>
      </w:r>
      <w:r w:rsidRPr="00E43C64">
        <w:rPr>
          <w:rFonts w:ascii="Arial" w:hAnsi="Arial" w:cs="Arial"/>
          <w:color w:val="808080" w:themeColor="background1" w:themeShade="80"/>
          <w:sz w:val="16"/>
          <w:szCs w:val="16"/>
          <w:vertAlign w:val="superscript"/>
        </w:rPr>
        <w:t>4</w:t>
      </w:r>
      <w:r w:rsidRPr="00712184">
        <w:rPr>
          <w:rFonts w:ascii="Arial" w:hAnsi="Arial" w:cs="Arial"/>
          <w:color w:val="808080" w:themeColor="background1" w:themeShade="80"/>
          <w:sz w:val="16"/>
          <w:szCs w:val="16"/>
        </w:rPr>
        <w:t>) richieste pervenute nei giorni non lavorativi o nei giorni lavorativi dalle 18.00 alle 8.00 nel caso intervento su appuntamento richiesto dal cliente contestualmente alla segnalazione del guasto, si applica la fascia di puntualità di 2 ore</w:t>
      </w:r>
      <w:r w:rsidRPr="00712184">
        <w:rPr>
          <w:rFonts w:ascii="Arial" w:hAnsi="Arial" w:cs="Arial"/>
          <w:sz w:val="16"/>
          <w:szCs w:val="16"/>
        </w:rPr>
        <w:cr/>
      </w:r>
    </w:p>
    <w:sectPr w:rsidR="00867B5A" w:rsidRPr="00712184" w:rsidSect="005110D5">
      <w:headerReference w:type="default" r:id="rId8"/>
      <w:footerReference w:type="default" r:id="rId9"/>
      <w:pgSz w:w="11906" w:h="16838"/>
      <w:pgMar w:top="1417" w:right="1134" w:bottom="1134" w:left="1134" w:header="85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31F11" w14:textId="77777777" w:rsidR="00AF596E" w:rsidRDefault="00AF596E" w:rsidP="005C5FAC">
      <w:pPr>
        <w:spacing w:after="0" w:line="240" w:lineRule="auto"/>
      </w:pPr>
      <w:r>
        <w:separator/>
      </w:r>
    </w:p>
  </w:endnote>
  <w:endnote w:type="continuationSeparator" w:id="0">
    <w:p w14:paraId="77C82DAB" w14:textId="77777777" w:rsidR="00AF596E" w:rsidRDefault="00AF596E" w:rsidP="005C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kkoPro-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9F3E6" w14:textId="77777777" w:rsidR="00466399" w:rsidRPr="005110D5" w:rsidRDefault="00466399" w:rsidP="00466399">
    <w:pPr>
      <w:pStyle w:val="Pidipagina"/>
      <w:rPr>
        <w:rFonts w:ascii="Arial" w:hAnsi="Arial" w:cs="Arial"/>
        <w:sz w:val="16"/>
        <w:szCs w:val="16"/>
      </w:rPr>
    </w:pPr>
    <w:r w:rsidRPr="005110D5">
      <w:rPr>
        <w:rFonts w:ascii="Arial" w:hAnsi="Arial" w:cs="Arial"/>
        <w:sz w:val="16"/>
        <w:szCs w:val="16"/>
      </w:rPr>
      <w:t>LIO ENERGY S.R.L.</w:t>
    </w:r>
    <w:r>
      <w:rPr>
        <w:rFonts w:ascii="Arial" w:hAnsi="Arial" w:cs="Arial"/>
        <w:sz w:val="16"/>
        <w:szCs w:val="16"/>
      </w:rPr>
      <w:t xml:space="preserve"> - </w:t>
    </w:r>
    <w:r w:rsidRPr="005110D5">
      <w:rPr>
        <w:rFonts w:ascii="Arial" w:hAnsi="Arial" w:cs="Arial"/>
        <w:sz w:val="16"/>
        <w:szCs w:val="16"/>
      </w:rPr>
      <w:t>Srl con socio unico soggetta all’attività di direzione e coordinamento di ChinaPower S.P.A.</w:t>
    </w:r>
  </w:p>
  <w:p w14:paraId="0FBE8F08" w14:textId="5DDCF429" w:rsidR="00466399" w:rsidRPr="005110D5" w:rsidRDefault="00466399" w:rsidP="00466399">
    <w:pPr>
      <w:pStyle w:val="Pidipagina"/>
      <w:rPr>
        <w:rFonts w:ascii="Arial" w:hAnsi="Arial" w:cs="Arial"/>
        <w:sz w:val="16"/>
        <w:szCs w:val="16"/>
      </w:rPr>
    </w:pPr>
    <w:r w:rsidRPr="006967BD">
      <w:rPr>
        <w:rFonts w:ascii="Arial" w:hAnsi="Arial" w:cs="Arial"/>
        <w:sz w:val="16"/>
        <w:szCs w:val="16"/>
      </w:rPr>
      <w:t>C.F./</w:t>
    </w:r>
    <w:proofErr w:type="spellStart"/>
    <w:r w:rsidRPr="006967BD">
      <w:rPr>
        <w:rFonts w:ascii="Arial" w:hAnsi="Arial" w:cs="Arial"/>
        <w:sz w:val="16"/>
        <w:szCs w:val="16"/>
      </w:rPr>
      <w:t>P.Iva</w:t>
    </w:r>
    <w:proofErr w:type="spellEnd"/>
    <w:r w:rsidRPr="006967BD">
      <w:rPr>
        <w:rFonts w:ascii="Arial" w:hAnsi="Arial" w:cs="Arial"/>
        <w:sz w:val="16"/>
        <w:szCs w:val="16"/>
      </w:rPr>
      <w:t xml:space="preserve"> 11479500966</w:t>
    </w:r>
    <w:r>
      <w:rPr>
        <w:rFonts w:ascii="Arial" w:hAnsi="Arial" w:cs="Arial"/>
        <w:sz w:val="16"/>
        <w:szCs w:val="16"/>
      </w:rPr>
      <w:t xml:space="preserve"> </w:t>
    </w:r>
    <w:r w:rsidRPr="006967BD">
      <w:rPr>
        <w:rFonts w:ascii="Arial" w:hAnsi="Arial" w:cs="Arial"/>
        <w:sz w:val="16"/>
        <w:szCs w:val="16"/>
      </w:rPr>
      <w:t>- R.E.A. Milano 2606183</w:t>
    </w:r>
    <w:r>
      <w:rPr>
        <w:rFonts w:ascii="Arial" w:hAnsi="Arial" w:cs="Arial"/>
        <w:sz w:val="16"/>
        <w:szCs w:val="16"/>
      </w:rPr>
      <w:t xml:space="preserve"> - Cap. </w:t>
    </w:r>
    <w:proofErr w:type="spellStart"/>
    <w:r>
      <w:rPr>
        <w:rFonts w:ascii="Arial" w:hAnsi="Arial" w:cs="Arial"/>
        <w:sz w:val="16"/>
        <w:szCs w:val="16"/>
      </w:rPr>
      <w:t>Soc</w:t>
    </w:r>
    <w:proofErr w:type="spellEnd"/>
    <w:r>
      <w:rPr>
        <w:rFonts w:ascii="Arial" w:hAnsi="Arial" w:cs="Arial"/>
        <w:sz w:val="16"/>
        <w:szCs w:val="16"/>
      </w:rPr>
      <w:t xml:space="preserve">. € </w:t>
    </w:r>
    <w:r w:rsidRPr="00D52672">
      <w:rPr>
        <w:rFonts w:ascii="Arial" w:hAnsi="Arial" w:cs="Arial"/>
        <w:sz w:val="16"/>
        <w:szCs w:val="16"/>
      </w:rPr>
      <w:t>100.000,00</w:t>
    </w:r>
    <w:r>
      <w:rPr>
        <w:rFonts w:ascii="Arial" w:hAnsi="Arial" w:cs="Arial"/>
        <w:sz w:val="16"/>
        <w:szCs w:val="16"/>
      </w:rPr>
      <w:t xml:space="preserve"> - Sede Legale: </w:t>
    </w:r>
    <w:r w:rsidRPr="005110D5">
      <w:rPr>
        <w:rFonts w:ascii="Arial" w:hAnsi="Arial" w:cs="Arial"/>
        <w:sz w:val="16"/>
        <w:szCs w:val="16"/>
      </w:rPr>
      <w:t>Via Gustavo Fara 39, 20127 Milano (MI)</w:t>
    </w:r>
  </w:p>
  <w:p w14:paraId="03BF4FE3" w14:textId="2594B447" w:rsidR="005110D5" w:rsidRPr="00020C93" w:rsidRDefault="00466399" w:rsidP="00466399">
    <w:pPr>
      <w:pStyle w:val="Pidipagina"/>
      <w:rPr>
        <w:rFonts w:ascii="Arial" w:hAnsi="Arial" w:cs="Arial"/>
        <w:sz w:val="16"/>
        <w:szCs w:val="16"/>
        <w:lang w:val="en-US"/>
      </w:rPr>
    </w:pPr>
    <w:r w:rsidRPr="00020C93">
      <w:rPr>
        <w:rFonts w:ascii="Arial" w:hAnsi="Arial" w:cs="Arial"/>
        <w:sz w:val="16"/>
        <w:szCs w:val="16"/>
        <w:lang w:val="en-US"/>
      </w:rPr>
      <w:t xml:space="preserve">Tel. </w:t>
    </w:r>
    <w:r w:rsidR="00440D67" w:rsidRPr="00440D67">
      <w:rPr>
        <w:rFonts w:ascii="Arial" w:hAnsi="Arial" w:cs="Arial"/>
        <w:sz w:val="16"/>
        <w:szCs w:val="16"/>
        <w:lang w:val="en-US"/>
      </w:rPr>
      <w:t>035 19965589</w:t>
    </w:r>
    <w:r w:rsidR="00440D67">
      <w:rPr>
        <w:rFonts w:ascii="Arial" w:hAnsi="Arial" w:cs="Arial"/>
        <w:sz w:val="16"/>
        <w:szCs w:val="16"/>
        <w:lang w:val="en-US"/>
      </w:rPr>
      <w:t xml:space="preserve"> </w:t>
    </w:r>
    <w:r w:rsidRPr="00020C93">
      <w:rPr>
        <w:rFonts w:ascii="Arial" w:hAnsi="Arial" w:cs="Arial"/>
        <w:sz w:val="16"/>
        <w:szCs w:val="16"/>
        <w:lang w:val="en-US"/>
      </w:rPr>
      <w:t xml:space="preserve">– Email </w:t>
    </w:r>
    <w:hyperlink r:id="rId1" w:history="1">
      <w:r w:rsidRPr="00020C93">
        <w:rPr>
          <w:rStyle w:val="Collegamentoipertestuale"/>
          <w:rFonts w:ascii="Arial" w:hAnsi="Arial" w:cs="Arial"/>
          <w:sz w:val="16"/>
          <w:szCs w:val="16"/>
          <w:lang w:val="en-US"/>
        </w:rPr>
        <w:t>servizioclienti@lioenergy.it</w:t>
      </w:r>
    </w:hyperlink>
    <w:r w:rsidRPr="00020C93">
      <w:rPr>
        <w:rFonts w:ascii="Arial" w:hAnsi="Arial" w:cs="Arial"/>
        <w:sz w:val="16"/>
        <w:szCs w:val="16"/>
        <w:lang w:val="en-US"/>
      </w:rPr>
      <w:t xml:space="preserve"> - PEC </w:t>
    </w:r>
    <w:hyperlink r:id="rId2" w:history="1">
      <w:r w:rsidRPr="00020C93">
        <w:rPr>
          <w:rStyle w:val="Collegamentoipertestuale"/>
          <w:rFonts w:ascii="Arial" w:hAnsi="Arial" w:cs="Arial"/>
          <w:sz w:val="16"/>
          <w:szCs w:val="16"/>
          <w:lang w:val="en-US"/>
        </w:rPr>
        <w:t>lioenergy@legalmail.it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3E73A" w14:textId="77777777" w:rsidR="00AF596E" w:rsidRDefault="00AF596E" w:rsidP="005C5FAC">
      <w:pPr>
        <w:spacing w:after="0" w:line="240" w:lineRule="auto"/>
      </w:pPr>
      <w:r>
        <w:separator/>
      </w:r>
    </w:p>
  </w:footnote>
  <w:footnote w:type="continuationSeparator" w:id="0">
    <w:p w14:paraId="7EDA9EBC" w14:textId="77777777" w:rsidR="00AF596E" w:rsidRDefault="00AF596E" w:rsidP="005C5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7D6CA" w14:textId="6DACE5DD" w:rsidR="00B727E1" w:rsidRPr="007E7F9A" w:rsidRDefault="004B6322" w:rsidP="007E7F9A">
    <w:pPr>
      <w:autoSpaceDE w:val="0"/>
      <w:autoSpaceDN w:val="0"/>
      <w:adjustRightInd w:val="0"/>
      <w:spacing w:after="0" w:line="240" w:lineRule="auto"/>
      <w:rPr>
        <w:rFonts w:ascii="Arial" w:hAnsi="Arial" w:cs="Arial"/>
        <w:b/>
        <w:bCs/>
        <w:color w:val="2F5496" w:themeColor="accent1" w:themeShade="BF"/>
        <w:kern w:val="0"/>
        <w:sz w:val="18"/>
        <w:szCs w:val="18"/>
        <w:lang w:val="en-US"/>
      </w:rPr>
    </w:pPr>
    <w:r>
      <w:rPr>
        <w:noProof/>
      </w:rPr>
      <w:drawing>
        <wp:anchor distT="0" distB="0" distL="114300" distR="114300" simplePos="0" relativeHeight="251658240" behindDoc="0" locked="0" layoutInCell="1" allowOverlap="1" wp14:anchorId="01A3BE3A" wp14:editId="48C53573">
          <wp:simplePos x="0" y="0"/>
          <wp:positionH relativeFrom="margin">
            <wp:align>right</wp:align>
          </wp:positionH>
          <wp:positionV relativeFrom="paragraph">
            <wp:posOffset>-69537</wp:posOffset>
          </wp:positionV>
          <wp:extent cx="2165985" cy="467995"/>
          <wp:effectExtent l="0" t="0" r="5715" b="8255"/>
          <wp:wrapNone/>
          <wp:docPr id="351291288" name="Immagine 35129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9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9282A"/>
    <w:multiLevelType w:val="hybridMultilevel"/>
    <w:tmpl w:val="F77E571A"/>
    <w:lvl w:ilvl="0" w:tplc="04100005">
      <w:start w:val="1"/>
      <w:numFmt w:val="bullet"/>
      <w:lvlText w:val=""/>
      <w:lvlJc w:val="left"/>
      <w:pPr>
        <w:ind w:left="2520" w:hanging="360"/>
      </w:pPr>
      <w:rPr>
        <w:rFonts w:ascii="Wingdings" w:hAnsi="Wingdings"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num w:numId="1" w16cid:durableId="1438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AC"/>
    <w:rsid w:val="000001F0"/>
    <w:rsid w:val="00017B79"/>
    <w:rsid w:val="00020C93"/>
    <w:rsid w:val="00033D21"/>
    <w:rsid w:val="0003687C"/>
    <w:rsid w:val="00044C20"/>
    <w:rsid w:val="0004601C"/>
    <w:rsid w:val="000505AC"/>
    <w:rsid w:val="00050EC6"/>
    <w:rsid w:val="000953E5"/>
    <w:rsid w:val="000C09D3"/>
    <w:rsid w:val="000C2CB8"/>
    <w:rsid w:val="000C59AF"/>
    <w:rsid w:val="000C7C0E"/>
    <w:rsid w:val="000D4355"/>
    <w:rsid w:val="000D6A8F"/>
    <w:rsid w:val="000E0089"/>
    <w:rsid w:val="001012D1"/>
    <w:rsid w:val="00101B33"/>
    <w:rsid w:val="00117BB4"/>
    <w:rsid w:val="00121542"/>
    <w:rsid w:val="0015518E"/>
    <w:rsid w:val="00176919"/>
    <w:rsid w:val="00182774"/>
    <w:rsid w:val="001860CD"/>
    <w:rsid w:val="00187540"/>
    <w:rsid w:val="00190800"/>
    <w:rsid w:val="001A7C83"/>
    <w:rsid w:val="001B086A"/>
    <w:rsid w:val="001D18A6"/>
    <w:rsid w:val="0021148F"/>
    <w:rsid w:val="00235023"/>
    <w:rsid w:val="00235C0F"/>
    <w:rsid w:val="00242945"/>
    <w:rsid w:val="00244CF3"/>
    <w:rsid w:val="00255EF9"/>
    <w:rsid w:val="00286F18"/>
    <w:rsid w:val="00292F45"/>
    <w:rsid w:val="002C72D1"/>
    <w:rsid w:val="002D6D39"/>
    <w:rsid w:val="002E18E1"/>
    <w:rsid w:val="00326A50"/>
    <w:rsid w:val="003367CC"/>
    <w:rsid w:val="00357646"/>
    <w:rsid w:val="00391855"/>
    <w:rsid w:val="00393E35"/>
    <w:rsid w:val="00396C2E"/>
    <w:rsid w:val="003A76C8"/>
    <w:rsid w:val="003B5BDF"/>
    <w:rsid w:val="0040738F"/>
    <w:rsid w:val="004403B3"/>
    <w:rsid w:val="00440D67"/>
    <w:rsid w:val="00460EAF"/>
    <w:rsid w:val="004632D8"/>
    <w:rsid w:val="00466399"/>
    <w:rsid w:val="00475486"/>
    <w:rsid w:val="00485235"/>
    <w:rsid w:val="00491100"/>
    <w:rsid w:val="004B6322"/>
    <w:rsid w:val="004B7E4F"/>
    <w:rsid w:val="004C0300"/>
    <w:rsid w:val="004C4547"/>
    <w:rsid w:val="004D60B5"/>
    <w:rsid w:val="004E31BC"/>
    <w:rsid w:val="005110D5"/>
    <w:rsid w:val="005176D6"/>
    <w:rsid w:val="0054739A"/>
    <w:rsid w:val="005509F6"/>
    <w:rsid w:val="00555E50"/>
    <w:rsid w:val="00562FC5"/>
    <w:rsid w:val="00580CD8"/>
    <w:rsid w:val="00582E45"/>
    <w:rsid w:val="00594351"/>
    <w:rsid w:val="005C5FAC"/>
    <w:rsid w:val="005D4288"/>
    <w:rsid w:val="00601299"/>
    <w:rsid w:val="00612035"/>
    <w:rsid w:val="00622DF4"/>
    <w:rsid w:val="00632F21"/>
    <w:rsid w:val="0064348F"/>
    <w:rsid w:val="00654EB8"/>
    <w:rsid w:val="00664095"/>
    <w:rsid w:val="0068017D"/>
    <w:rsid w:val="00696773"/>
    <w:rsid w:val="006E73D3"/>
    <w:rsid w:val="00712184"/>
    <w:rsid w:val="00721807"/>
    <w:rsid w:val="00723B26"/>
    <w:rsid w:val="00743729"/>
    <w:rsid w:val="007535A8"/>
    <w:rsid w:val="007562C1"/>
    <w:rsid w:val="007648D3"/>
    <w:rsid w:val="0078070A"/>
    <w:rsid w:val="007B42B0"/>
    <w:rsid w:val="007C1942"/>
    <w:rsid w:val="007C38EB"/>
    <w:rsid w:val="007D4EAB"/>
    <w:rsid w:val="007E0E55"/>
    <w:rsid w:val="007E7F9A"/>
    <w:rsid w:val="00807162"/>
    <w:rsid w:val="008136CC"/>
    <w:rsid w:val="00867B5A"/>
    <w:rsid w:val="00875195"/>
    <w:rsid w:val="008862BA"/>
    <w:rsid w:val="008B079E"/>
    <w:rsid w:val="008B1300"/>
    <w:rsid w:val="008C3189"/>
    <w:rsid w:val="008D4B1D"/>
    <w:rsid w:val="008E00C8"/>
    <w:rsid w:val="008F40B0"/>
    <w:rsid w:val="00910D51"/>
    <w:rsid w:val="009259BD"/>
    <w:rsid w:val="00927E69"/>
    <w:rsid w:val="00960E86"/>
    <w:rsid w:val="00965035"/>
    <w:rsid w:val="00982EC7"/>
    <w:rsid w:val="00992C22"/>
    <w:rsid w:val="009D17D4"/>
    <w:rsid w:val="009D5D6E"/>
    <w:rsid w:val="00A067D8"/>
    <w:rsid w:val="00A130E4"/>
    <w:rsid w:val="00A25DAE"/>
    <w:rsid w:val="00A30E03"/>
    <w:rsid w:val="00A806FF"/>
    <w:rsid w:val="00AC56ED"/>
    <w:rsid w:val="00AD76D7"/>
    <w:rsid w:val="00AF5160"/>
    <w:rsid w:val="00AF596E"/>
    <w:rsid w:val="00B2118E"/>
    <w:rsid w:val="00B2388D"/>
    <w:rsid w:val="00B4516A"/>
    <w:rsid w:val="00B727E1"/>
    <w:rsid w:val="00B91C1F"/>
    <w:rsid w:val="00BC3285"/>
    <w:rsid w:val="00BE099D"/>
    <w:rsid w:val="00C14FF9"/>
    <w:rsid w:val="00C81918"/>
    <w:rsid w:val="00C9099C"/>
    <w:rsid w:val="00CA7BB6"/>
    <w:rsid w:val="00CD1839"/>
    <w:rsid w:val="00CE175C"/>
    <w:rsid w:val="00CE273E"/>
    <w:rsid w:val="00CF21E8"/>
    <w:rsid w:val="00D0330C"/>
    <w:rsid w:val="00D210D7"/>
    <w:rsid w:val="00D239DD"/>
    <w:rsid w:val="00D23BE8"/>
    <w:rsid w:val="00D25DB2"/>
    <w:rsid w:val="00D32440"/>
    <w:rsid w:val="00D6198C"/>
    <w:rsid w:val="00D70B51"/>
    <w:rsid w:val="00D70FFF"/>
    <w:rsid w:val="00D82FE3"/>
    <w:rsid w:val="00DA1386"/>
    <w:rsid w:val="00DB6497"/>
    <w:rsid w:val="00DC1C83"/>
    <w:rsid w:val="00DD5FCD"/>
    <w:rsid w:val="00E140D5"/>
    <w:rsid w:val="00E1701F"/>
    <w:rsid w:val="00E17426"/>
    <w:rsid w:val="00E43C64"/>
    <w:rsid w:val="00E84C21"/>
    <w:rsid w:val="00EA4A98"/>
    <w:rsid w:val="00EC0E9F"/>
    <w:rsid w:val="00EE3C8B"/>
    <w:rsid w:val="00F037AF"/>
    <w:rsid w:val="00F132C4"/>
    <w:rsid w:val="00F3096F"/>
    <w:rsid w:val="00F55EDD"/>
    <w:rsid w:val="00F93C91"/>
    <w:rsid w:val="00FA3B67"/>
    <w:rsid w:val="00FE1A3D"/>
    <w:rsid w:val="00FF2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A0573"/>
  <w15:chartTrackingRefBased/>
  <w15:docId w15:val="{0986791D-D917-472F-9147-F3613CFE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5FA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5FAC"/>
  </w:style>
  <w:style w:type="paragraph" w:styleId="Pidipagina">
    <w:name w:val="footer"/>
    <w:basedOn w:val="Normale"/>
    <w:link w:val="PidipaginaCarattere"/>
    <w:uiPriority w:val="99"/>
    <w:unhideWhenUsed/>
    <w:rsid w:val="005C5FA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5FAC"/>
  </w:style>
  <w:style w:type="character" w:styleId="Collegamentoipertestuale">
    <w:name w:val="Hyperlink"/>
    <w:basedOn w:val="Carpredefinitoparagrafo"/>
    <w:uiPriority w:val="99"/>
    <w:unhideWhenUsed/>
    <w:rsid w:val="00743729"/>
    <w:rPr>
      <w:color w:val="0563C1" w:themeColor="hyperlink"/>
      <w:u w:val="single"/>
    </w:rPr>
  </w:style>
  <w:style w:type="table" w:styleId="Grigliatabella">
    <w:name w:val="Table Grid"/>
    <w:basedOn w:val="Tabellanormale"/>
    <w:uiPriority w:val="39"/>
    <w:rsid w:val="00743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E7F9A"/>
    <w:rPr>
      <w:color w:val="605E5C"/>
      <w:shd w:val="clear" w:color="auto" w:fill="E1DFDD"/>
    </w:rPr>
  </w:style>
  <w:style w:type="paragraph" w:styleId="Paragrafoelenco">
    <w:name w:val="List Paragraph"/>
    <w:basedOn w:val="Normale"/>
    <w:uiPriority w:val="34"/>
    <w:qFormat/>
    <w:rsid w:val="007E7F9A"/>
    <w:pPr>
      <w:ind w:left="720"/>
      <w:contextualSpacing/>
    </w:pPr>
  </w:style>
  <w:style w:type="table" w:customStyle="1" w:styleId="TableNormal">
    <w:name w:val="Table Normal"/>
    <w:uiPriority w:val="2"/>
    <w:semiHidden/>
    <w:unhideWhenUsed/>
    <w:qFormat/>
    <w:rsid w:val="0015518E"/>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5518E"/>
    <w:pPr>
      <w:widowControl w:val="0"/>
      <w:autoSpaceDE w:val="0"/>
      <w:autoSpaceDN w:val="0"/>
      <w:spacing w:after="0" w:line="240" w:lineRule="auto"/>
    </w:pPr>
    <w:rPr>
      <w:rFonts w:ascii="Trebuchet MS" w:eastAsia="Trebuchet MS" w:hAnsi="Trebuchet MS" w:cs="Trebuchet MS"/>
      <w:kern w:val="0"/>
      <w14:ligatures w14:val="none"/>
    </w:rPr>
  </w:style>
  <w:style w:type="character" w:customStyle="1" w:styleId="CorpotestoCarattere">
    <w:name w:val="Corpo testo Carattere"/>
    <w:basedOn w:val="Carpredefinitoparagrafo"/>
    <w:link w:val="Corpotesto"/>
    <w:uiPriority w:val="1"/>
    <w:rsid w:val="0015518E"/>
    <w:rPr>
      <w:rFonts w:ascii="Trebuchet MS" w:eastAsia="Trebuchet MS" w:hAnsi="Trebuchet MS" w:cs="Trebuchet MS"/>
      <w:kern w:val="0"/>
      <w14:ligatures w14:val="none"/>
    </w:rPr>
  </w:style>
  <w:style w:type="paragraph" w:customStyle="1" w:styleId="TableParagraph">
    <w:name w:val="Table Paragraph"/>
    <w:basedOn w:val="Normale"/>
    <w:uiPriority w:val="1"/>
    <w:qFormat/>
    <w:rsid w:val="0015518E"/>
    <w:pPr>
      <w:widowControl w:val="0"/>
      <w:autoSpaceDE w:val="0"/>
      <w:autoSpaceDN w:val="0"/>
      <w:spacing w:after="0" w:line="240" w:lineRule="auto"/>
    </w:pPr>
    <w:rPr>
      <w:rFonts w:ascii="Palatino Linotype" w:eastAsia="Palatino Linotype" w:hAnsi="Palatino Linotype" w:cs="Palatino Linotype"/>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041013">
      <w:bodyDiv w:val="1"/>
      <w:marLeft w:val="0"/>
      <w:marRight w:val="0"/>
      <w:marTop w:val="0"/>
      <w:marBottom w:val="0"/>
      <w:divBdr>
        <w:top w:val="none" w:sz="0" w:space="0" w:color="auto"/>
        <w:left w:val="none" w:sz="0" w:space="0" w:color="auto"/>
        <w:bottom w:val="none" w:sz="0" w:space="0" w:color="auto"/>
        <w:right w:val="none" w:sz="0" w:space="0" w:color="auto"/>
      </w:divBdr>
    </w:div>
    <w:div w:id="1013534553">
      <w:bodyDiv w:val="1"/>
      <w:marLeft w:val="0"/>
      <w:marRight w:val="0"/>
      <w:marTop w:val="0"/>
      <w:marBottom w:val="0"/>
      <w:divBdr>
        <w:top w:val="none" w:sz="0" w:space="0" w:color="auto"/>
        <w:left w:val="none" w:sz="0" w:space="0" w:color="auto"/>
        <w:bottom w:val="none" w:sz="0" w:space="0" w:color="auto"/>
        <w:right w:val="none" w:sz="0" w:space="0" w:color="auto"/>
      </w:divBdr>
    </w:div>
    <w:div w:id="1189837041">
      <w:bodyDiv w:val="1"/>
      <w:marLeft w:val="0"/>
      <w:marRight w:val="0"/>
      <w:marTop w:val="0"/>
      <w:marBottom w:val="0"/>
      <w:divBdr>
        <w:top w:val="none" w:sz="0" w:space="0" w:color="auto"/>
        <w:left w:val="none" w:sz="0" w:space="0" w:color="auto"/>
        <w:bottom w:val="none" w:sz="0" w:space="0" w:color="auto"/>
        <w:right w:val="none" w:sz="0" w:space="0" w:color="auto"/>
      </w:divBdr>
    </w:div>
    <w:div w:id="1263415991">
      <w:bodyDiv w:val="1"/>
      <w:marLeft w:val="0"/>
      <w:marRight w:val="0"/>
      <w:marTop w:val="0"/>
      <w:marBottom w:val="0"/>
      <w:divBdr>
        <w:top w:val="none" w:sz="0" w:space="0" w:color="auto"/>
        <w:left w:val="none" w:sz="0" w:space="0" w:color="auto"/>
        <w:bottom w:val="none" w:sz="0" w:space="0" w:color="auto"/>
        <w:right w:val="none" w:sz="0" w:space="0" w:color="auto"/>
      </w:divBdr>
    </w:div>
    <w:div w:id="1292711960">
      <w:bodyDiv w:val="1"/>
      <w:marLeft w:val="0"/>
      <w:marRight w:val="0"/>
      <w:marTop w:val="0"/>
      <w:marBottom w:val="0"/>
      <w:divBdr>
        <w:top w:val="none" w:sz="0" w:space="0" w:color="auto"/>
        <w:left w:val="none" w:sz="0" w:space="0" w:color="auto"/>
        <w:bottom w:val="none" w:sz="0" w:space="0" w:color="auto"/>
        <w:right w:val="none" w:sz="0" w:space="0" w:color="auto"/>
      </w:divBdr>
    </w:div>
    <w:div w:id="16582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oenergy@legalmail.it" TargetMode="External"/><Relationship Id="rId1" Type="http://schemas.openxmlformats.org/officeDocument/2006/relationships/hyperlink" Target="mailto:servizioclienti@lioenerg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095D9-0060-4F94-9600-70B300681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1261</Words>
  <Characters>7190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Collazuol</dc:creator>
  <cp:keywords/>
  <dc:description/>
  <cp:lastModifiedBy>Evelyn Vargas</cp:lastModifiedBy>
  <cp:revision>7</cp:revision>
  <dcterms:created xsi:type="dcterms:W3CDTF">2024-06-25T08:21:00Z</dcterms:created>
  <dcterms:modified xsi:type="dcterms:W3CDTF">2024-06-25T10:44:00Z</dcterms:modified>
</cp:coreProperties>
</file>